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50"/>
        <w:gridCol w:w="7120"/>
      </w:tblGrid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sz w:val="22"/>
                <w:szCs w:val="22"/>
                <w:lang w:eastAsia="pt-BR"/>
              </w:rPr>
            </w:pPr>
            <w:r>
              <w:rPr>
                <w:rFonts w:eastAsia="Cambria" w:cs="Times New Roman"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sz w:val="22"/>
                <w:szCs w:val="22"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4"/>
              <w:rPr>
                <w:rFonts w:ascii="Times New Roman" w:hAnsi="Times New Roman" w:eastAsia="Cambria" w:cs="Times New Roman"/>
                <w:sz w:val="22"/>
                <w:szCs w:val="22"/>
                <w:lang w:eastAsia="pt-BR"/>
              </w:rPr>
            </w:pPr>
            <w:r>
              <w:rPr>
                <w:rFonts w:eastAsia="Cambria" w:cs="Times New Roman"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1843" w:hanging="1843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pt-BR"/>
              </w:rPr>
              <w:t>Comissão de Ensino e Formação - CAU/PR</w:t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sz w:val="22"/>
                <w:szCs w:val="22"/>
                <w:lang w:eastAsia="pt-BR"/>
              </w:rPr>
            </w:pPr>
            <w:r>
              <w:rPr>
                <w:rFonts w:eastAsia="Cambria" w:cs="Times New Roman"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/>
              </w:rPr>
              <w:t xml:space="preserve">Posicionamento da CEF-CAU/PR acerca da efetivação de Registro Profissional de egressos </w:t>
            </w:r>
            <w:r>
              <w:rPr>
                <w:rFonts w:eastAsia="Times New Roman" w:ascii="Times New Roman" w:hAnsi="Times New Roman"/>
                <w:bCs/>
                <w:sz w:val="22"/>
                <w:szCs w:val="22"/>
                <w:lang w:eastAsia="pt-BR"/>
              </w:rPr>
              <w:t xml:space="preserve">de cursos de graduação em Arquitetura e Urbanismo na modalidade de ensino à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/>
              </w:rPr>
              <w:t>distância (EAD).</w:t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mbria" w:cs="Times New Roman"/>
                <w:bCs/>
                <w:lang w:eastAsia="pt-BR"/>
              </w:rPr>
            </w:pPr>
            <w:r>
              <w:rPr>
                <w:rFonts w:eastAsia="Cambria" w:cs="Times New Roman" w:ascii="Times New Roman" w:hAnsi="Times New Roman"/>
                <w:bCs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b/>
                <w:b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lang w:eastAsia="pt-BR"/>
              </w:rPr>
              <w:t xml:space="preserve">DELIBERAÇÃO n.º </w:t>
            </w:r>
            <w:r>
              <w:rPr>
                <w:rFonts w:eastAsia="Cambria" w:cs="Times New Roman" w:ascii="Times New Roman" w:hAnsi="Times New Roman"/>
                <w:b/>
                <w:color w:val="060101"/>
                <w:lang w:eastAsia="pt-BR"/>
              </w:rPr>
              <w:t>011/</w:t>
            </w:r>
            <w:r>
              <w:rPr>
                <w:rFonts w:eastAsia="Cambria" w:cs="Times New Roman" w:ascii="Times New Roman" w:hAnsi="Times New Roman"/>
                <w:b/>
                <w:lang w:eastAsia="pt-BR"/>
              </w:rPr>
              <w:t>2021 CEF–CAU/PR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 COMISSÃO DE ENSINO E FORMAÇÃO - CEF CAU/PR, reunida ordinariamente, de forma virtual, no uso das competências que lhe conferem os artigos 99 do Regimento Interno do CAU/PR, após análise do assunto em epígrafe,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nos termos do art. 24 da Lei nº 12.378/10, o Conselho de Arquitetura e Urbanismo do Paraná (CAU/PR) “têm como função orientar, disciplinar e fiscalizar o exercício da profissão de arquitetura e urbanismo, zelar pela fiel observância dos princípios de ética e disciplina da classe, bem como pugnar pelo aperfeiçoamento do exercício da arquitetura e urbanismo”;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Art. 5º da Lei 12.378/2010 que determina que “Para uso do título de arquiteto e urbanista e para o exercício das atividades privativas correspondentes, é obrigatório o registro profissional no CAU do Estado ou do Distrito Federal”; Considerando a Resolução CNE/CES nº 2, de 17 de junho de 2010, que institui as Diretrizes Curriculares Nacionais do curso de graduação em Arquitetura e Urbanismo;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Código de Ética e Disciplina do Conselho de Arquitetura e Urbanismo do Brasil (CAU/BR), norma derivada da Lei n° 12.378/10, no seu “Princípio 1.1.1”, estatui que “o arquiteto e urbanista deve deter por formação, um conjunto sistematizado de conhecimentos das artes, das ciências e as técnicas, assim como das teorias e práticas específicas da Arquitetura e Urbanismo”;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Resolução CAU/BR n°018/2012 e suas alterações posteriores, que dispõe sobre os registros definitivos e temporários de profissionais no Conselho de Arquitetura e Urbanismo e dá outras providências;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Deliberação Plenária do CAU/BR, DPOBR Nº 0088-01, de 29 de março de 2019, que aprova a recusa à concessão do registro profissional, pelos CAU/UFs, aos egressos de cursos de graduação em Arquitetura e Urbanismo realizados na modalidade de ensino a distância, cujos efeitos foram suspensos por decisão judicial no âmbito do Processo nº. 1014370-20.2019.4.01.3400, que tramita na 17ª Vara Federal Cível da Seção Judiciária do DF, ao qual ainda cabe recurso ao CAU/BR; </w:t>
      </w:r>
    </w:p>
    <w:p>
      <w:pPr>
        <w:pStyle w:val="Normal"/>
        <w:tabs>
          <w:tab w:val="clear" w:pos="708"/>
          <w:tab w:val="left" w:pos="1418" w:leader="none"/>
        </w:tabs>
        <w:spacing w:before="0" w:after="120"/>
        <w:ind w:hanging="0"/>
        <w:jc w:val="both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 xml:space="preserve">Considerando que compete ao CAU zelar pelo aperfeiçoamento e pela valorização do exercício da Arquitetura e Urbanismo, por meio da equalização de inconformidades, por ventura, verificadas, perante à autoridade administrativa competente, ou ainda por provocação ao Poder Judiciário;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Ofício Circular n. 004/2021-CAU/BR, encaminhado à CEF-CAU/PR  que trata sobre o Memorando 001/2021 CEFCAU/BR, e requer das CEF-CAU/UF informações atualizadas a respeito de eventuais solicitações recebidas envolvendo o tema registro profissional de egressos de cursos de arquitetura e urbanismo na modalidade de ensino a distância (EAD) ou correlatos;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Plenária do CAU/RS, DPO/RS Nº 1257/2021, de 29 de janeiro de 2021, que reitera o posicionamento do CAU/RS quanto à não realização de registros profissionais de egressos de cursos de graduação em Arquitetura e Urbanismo na modalidade de ensino à distância (EAD);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DCEF-CAU/SP n. 008/2021, de 04 de fevereiro de 2021, que indeferiu cinco registros profissionais de egressos de cursos de graduação em Arquitetura e Urbanismo na modalidade de ensino à distância (EAD);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sentença judicial relativa ao Processo n. 1016926-92.2019.4.01.3400, de 17 de fevereiro de 2021, que no âmbito da Justiça Federal do Distrito Federal (TRF-1), em primeira instância, determina “a suspensão dos efeitos da Deliberação Plenária DPOBR nº 0088-01/2019, de sorte a que tenha seguimento o exame dos pedidos de registro profissional dos detentores de diplomas de cursos de arquitetura e urbanismo EAD reconhecidos pelo MEC”; Considerando Nota de Esclarecimento do CAU/BR sobre o EAD, publicada no sítio eletrônico do CAU/BR em 19 de fevereiro de 2021 (disponível em: https://www.caubr.gov.br/ensino-a-distancia-nota-de-esclarecimento-do-cau-br/), que informa: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(...) é importante ressaltar que, no momento, a discussão na Justiça sobre o tema não está pacificada, uma vez que existe conflito entre decisões judiciais sobre a Deliberação Plenária do CAU-BR. De um lado, no âmbito da Justiça Federal do Distrito Federal (TRF-1), há decisões favoráveis ao registro automático e de outro, no âmbito da Justiça Federal do Rio Grande do Sul e na Segunda Instância (TRF-4), decisão favorável ao não registro profissional dos egressos destes cursos.”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cadastramento nacional dos cursos de Arquitetura e Urbanismo está previsto na Lei 12.378/2010, sendo atribuição exclusiva da CEF CAU/BR;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existência de curso de graduação em Arquitetura e Urbanismo na modalidade de ensino à distância (EAD) no Estado do Paraná.</w:t>
      </w:r>
    </w:p>
    <w:p>
      <w:pPr>
        <w:pStyle w:val="Normal"/>
        <w:tabs>
          <w:tab w:val="clear" w:pos="708"/>
          <w:tab w:val="left" w:pos="1418" w:leader="none"/>
        </w:tabs>
        <w:spacing w:before="0" w:after="120"/>
        <w:ind w:hanging="0"/>
        <w:jc w:val="both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 xml:space="preserve">Considerando o posicionamento oficial do CAU/BR e desta CEF em defesa do ensino presencial, no qual os meios digitais são reconhecidos enquanto ferramentas auxiliares na formação acadêmica – no limite de 20% EaD, e a não recomendação da graduação em Arquitetura e Urbanismo na modalidade de ensino à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DELIBEROU: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Endossar o posicionamento da CEF-CAU/BR contrário ao ensino na modalidade à distância (EAD) para os cursos de graduação em Arquitetura e Urbanismo; 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Permitir o registro profissional aos alunos egressos do Ensino Remoto Emergencial (ERE), cuja duração possui caráter excepcional, seguindo as orientações de proteção à saúde no contexto da pandemia de Covid-19, nos termos da Portaria 343/2020 do MEC;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Orientar os (as) analistas de Registro Profissional do CAU/PR a não efetivar, por ora, o registro profissional dos requerentes egressos de cursos de graduação na modalidade de ensino à distância (EAD), devendo aguardar a resolução das controvérsias jurídicas tornando pacificado o entendimento sobre a matéria;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Reiterar a necessidade de realização de tratativas em âmbito nacional sobre a matéria, inclusas as discussões sobre as controvérsias jurídicas existentes, a fim de buscar um entendimento para a questão e em busca de segurança jurídica para que o corpo técnico do CAU/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 xml:space="preserve"> seja devidamente orientado sobre a efetivação ou não dos registros profissionais dos egressos de cursos de graduação na modalidade  à distância (EAD);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Aprovada com 3 ( três ) votos favoráveis dos Conselheiros :</w:t>
      </w:r>
    </w:p>
    <w:p>
      <w:pPr>
        <w:pStyle w:val="Normal"/>
        <w:tabs>
          <w:tab w:val="clear" w:pos="708"/>
          <w:tab w:val="left" w:pos="1418" w:leader="none"/>
        </w:tabs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leNormal"/>
        <w:tblW w:w="907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692"/>
        <w:gridCol w:w="882"/>
        <w:gridCol w:w="888"/>
        <w:gridCol w:w="879"/>
        <w:gridCol w:w="888"/>
      </w:tblGrid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4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Conselheiros</w:t>
            </w:r>
          </w:p>
        </w:tc>
        <w:tc>
          <w:tcPr>
            <w:tcW w:w="35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3692" w:type="dxa"/>
            <w:vMerge w:val="continue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88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Não</w:t>
            </w:r>
          </w:p>
        </w:tc>
        <w:tc>
          <w:tcPr>
            <w:tcW w:w="87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André Luiz Sell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 xml:space="preserve">Posicionamento contrário ao </w:t>
            </w:r>
            <w:r>
              <w:rPr>
                <w:rFonts w:eastAsia="Times New Roman" w:cs="Times New Roman"/>
                <w:b/>
                <w:bCs/>
                <w:spacing w:val="-5"/>
                <w:kern w:val="0"/>
                <w:sz w:val="22"/>
                <w:szCs w:val="22"/>
                <w:lang w:val="pt-BR" w:eastAsia="en-US" w:bidi="ar-SA"/>
              </w:rPr>
              <w:t>Re</w:t>
            </w:r>
            <w:r>
              <w:rPr>
                <w:rFonts w:eastAsia="Times New Roman" w:cs="Times New Roman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>gistro de Egressos do Ensino à Distância 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27/09/2021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pt-BR" w:bidi="ar-SA"/>
              </w:rPr>
              <w:t>Posicionamento da CEF-CAU/PR acerca da efetivação de Registro Profissional de egressos de cursos de graduação em Arquitetura e Urbanismo na modalidade de ensino à distância (EAD).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( 0) Conselheiros.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24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bCs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bCs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spacing w:before="0" w:after="160"/>
        <w:ind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axCondensed">
    <w:charset w:val="00"/>
    <w:family w:val="roman"/>
    <w:pitch w:val="variable"/>
  </w:font>
  <w:font w:name="DaxCondensed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2" w:before="0" w:after="0"/>
      <w:ind w:left="10" w:right="9" w:hanging="0"/>
      <w:jc w:val="center"/>
      <w:rPr>
        <w:rFonts w:ascii="Calibri" w:hAnsi="Calibri"/>
        <w:b/>
        <w:b/>
        <w:sz w:val="18"/>
      </w:rPr>
    </w:pPr>
    <w:r>
      <w:rPr>
        <w:b/>
        <w:color w:val="006666"/>
        <w:sz w:val="18"/>
      </w:rPr>
      <w:t>Conselho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de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Arquitetura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e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Urbanismo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do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Paraná</w:t>
    </w:r>
    <w:r>
      <w:rPr>
        <w:b/>
        <w:color w:val="006666"/>
        <w:spacing w:val="-2"/>
        <w:sz w:val="18"/>
      </w:rPr>
      <w:t xml:space="preserve"> </w:t>
    </w:r>
    <w:r>
      <w:rPr>
        <w:b/>
        <w:color w:val="006666"/>
        <w:sz w:val="18"/>
      </w:rPr>
      <w:t>|</w:t>
    </w:r>
    <w:r>
      <w:rPr>
        <w:b/>
        <w:color w:val="006666"/>
        <w:spacing w:val="-3"/>
        <w:sz w:val="18"/>
      </w:rPr>
      <w:t xml:space="preserve"> </w:t>
    </w:r>
    <w:r>
      <w:rPr>
        <w:b/>
        <w:color w:val="006666"/>
        <w:sz w:val="18"/>
      </w:rPr>
      <w:t>CAUPR.gov.br</w:t>
    </w:r>
  </w:p>
  <w:p>
    <w:pPr>
      <w:pStyle w:val="Normal"/>
      <w:spacing w:lineRule="exact" w:line="199" w:before="0" w:after="0"/>
      <w:ind w:left="10" w:right="10" w:hanging="0"/>
      <w:jc w:val="center"/>
      <w:rPr>
        <w:rFonts w:ascii="Calibri" w:hAnsi="Calibri"/>
        <w:sz w:val="18"/>
      </w:rPr>
    </w:pPr>
    <w:r>
      <w:rPr>
        <w:color w:val="A6A6A6"/>
        <w:sz w:val="18"/>
      </w:rPr>
      <w:t>Sede</w:t>
    </w:r>
    <w:r>
      <w:rPr>
        <w:color w:val="A6A6A6"/>
        <w:spacing w:val="-3"/>
        <w:sz w:val="18"/>
      </w:rPr>
      <w:t xml:space="preserve"> Casa Mário de Mari | </w:t>
    </w:r>
    <w:r>
      <w:rPr>
        <w:color w:val="A6A6A6"/>
        <w:sz w:val="18"/>
      </w:rPr>
      <w:t>Av.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Nossa Senhora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da</w:t>
    </w:r>
    <w:r>
      <w:rPr>
        <w:color w:val="A6A6A6"/>
        <w:spacing w:val="-3"/>
        <w:sz w:val="18"/>
      </w:rPr>
      <w:t xml:space="preserve"> </w:t>
    </w:r>
    <w:r>
      <w:rPr>
        <w:color w:val="A6A6A6"/>
        <w:sz w:val="18"/>
      </w:rPr>
      <w:t>Luz,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2.530|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80045-360</w:t>
    </w:r>
    <w:r>
      <w:rPr>
        <w:color w:val="A6A6A6"/>
        <w:spacing w:val="-1"/>
        <w:sz w:val="18"/>
      </w:rPr>
      <w:t xml:space="preserve"> </w:t>
    </w:r>
    <w:r>
      <w:rPr>
        <w:color w:val="A6A6A6"/>
        <w:sz w:val="18"/>
      </w:rPr>
      <w:t>|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Curitiba/PR</w:t>
    </w:r>
    <w:r>
      <w:rPr>
        <w:color w:val="A6A6A6"/>
        <w:spacing w:val="-2"/>
        <w:sz w:val="18"/>
      </w:rPr>
      <w:t xml:space="preserve"> </w:t>
    </w:r>
    <w:r>
      <w:rPr>
        <w:color w:val="A6A6A6"/>
        <w:sz w:val="18"/>
      </w:rPr>
      <w:t>|</w:t>
    </w:r>
    <w:r>
      <w:rPr>
        <w:color w:val="A6A6A6"/>
        <w:spacing w:val="-3"/>
        <w:sz w:val="18"/>
      </w:rPr>
      <w:t xml:space="preserve"> </w:t>
    </w:r>
    <w:r>
      <w:rPr>
        <w:color w:val="A6A6A6"/>
        <w:sz w:val="18"/>
      </w:rPr>
      <w:t>+55 (41) 3218.0200</w:t>
    </w:r>
  </w:p>
  <w:p>
    <w:pPr>
      <w:pStyle w:val="Normal"/>
      <w:spacing w:before="0" w:after="0"/>
      <w:ind w:left="11" w:right="6" w:hanging="0"/>
      <w:jc w:val="center"/>
      <w:rPr>
        <w:rFonts w:ascii="DaxCondensed" w:hAnsi="DaxCondensed"/>
        <w:b/>
        <w:b/>
        <w:sz w:val="18"/>
      </w:rPr>
    </w:pPr>
    <w:r>
      <w:rPr>
        <w:rFonts w:ascii="DaxCondensed" w:hAnsi="DaxCondensed"/>
        <w:b/>
        <w:sz w:val="18"/>
      </w:rPr>
      <mc:AlternateContent>
        <mc:Choice Requires="wps">
          <w:drawing>
            <wp:anchor behindDoc="1" distT="0" distB="0" distL="0" distR="0" simplePos="0" locked="0" layoutInCell="0" allowOverlap="1" relativeHeight="15" wp14:anchorId="2E21D9B0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6565" cy="135255"/>
              <wp:effectExtent l="0" t="0" r="4445" b="2540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760" cy="134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3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3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446.8pt;margin-top:722.1pt;width:35.85pt;height:10.55pt;mso-wrap-style:square;v-text-anchor:middle;mso-position-horizontal-relative:margin;mso-position-vertical-relative:margin" wp14:anchorId="2E21D9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3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3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09834BC">
              <wp:simplePos x="0" y="0"/>
              <wp:positionH relativeFrom="margin">
                <wp:align>center</wp:align>
              </wp:positionH>
              <wp:positionV relativeFrom="topMargin">
                <wp:posOffset>800100</wp:posOffset>
              </wp:positionV>
              <wp:extent cx="3013710" cy="175260"/>
              <wp:effectExtent l="0" t="0" r="0" b="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32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3" w:hanging="0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cs="Times New Roman" w:ascii="Times New Roman" w:hAnsi="Times New Roman"/>
                              <w:color w:val="006666"/>
                              <w:spacing w:val="-3"/>
                              <w:szCs w:val="32"/>
                            </w:rPr>
                            <w:t xml:space="preserve"> Ensino e Formação CEF CAU-PR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108.1pt;margin-top:63pt;width:237.2pt;height:13.7pt;mso-wrap-style:square;v-text-anchor:middle;mso-position-horizontal:center;mso-position-horizontal-relative:margin" wp14:anchorId="409834B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3" w:hanging="0"/>
                      <w:rPr/>
                    </w:pP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cs="Times New Roman" w:ascii="Times New Roman" w:hAnsi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cs="Times New Roman" w:ascii="Times New Roman" w:hAnsi="Times New Roman"/>
                        <w:color w:val="006666"/>
                        <w:spacing w:val="-3"/>
                        <w:szCs w:val="32"/>
                      </w:rPr>
                      <w:t xml:space="preserve"> Ensino e Formação CEF CAU-PR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-393700</wp:posOffset>
          </wp:positionH>
          <wp:positionV relativeFrom="paragraph">
            <wp:posOffset>-135890</wp:posOffset>
          </wp:positionV>
          <wp:extent cx="5742940" cy="630555"/>
          <wp:effectExtent l="0" t="0" r="0" b="0"/>
          <wp:wrapNone/>
          <wp:docPr id="3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152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5946c3"/>
    <w:rPr>
      <w:color w:val="0563C1" w:themeColor="hyperlink"/>
      <w:u w:val="single"/>
    </w:rPr>
  </w:style>
  <w:style w:type="character" w:styleId="Nfase">
    <w:name w:val="Ênfase"/>
    <w:basedOn w:val="DefaultParagraphFont"/>
    <w:uiPriority w:val="20"/>
    <w:qFormat/>
    <w:rsid w:val="00b528bb"/>
    <w:rPr>
      <w:i/>
      <w:iCs/>
    </w:rPr>
  </w:style>
  <w:style w:type="character" w:styleId="Contentline232" w:customStyle="1">
    <w:name w:val="contentline-232"/>
    <w:basedOn w:val="DefaultParagraphFont"/>
    <w:qFormat/>
    <w:rsid w:val="0082319e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1a0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1a0b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b490e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5946c3"/>
    <w:rPr>
      <w:rFonts w:ascii="Cambria" w:hAnsi="Cambria" w:eastAsia="Cambria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5946c3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7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d00fbf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b4341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  <w:lang w:val="pt-PT"/>
    </w:rPr>
  </w:style>
  <w:style w:type="paragraph" w:styleId="Contedodoquadro" w:customStyle="1">
    <w:name w:val="Conteúdo do quadro"/>
    <w:basedOn w:val="Normal"/>
    <w:qFormat/>
    <w:pPr/>
    <w:rPr/>
  </w:style>
  <w:style w:type="paragraph" w:styleId="Default" w:customStyle="1">
    <w:name w:val="Default"/>
    <w:qFormat/>
    <w:rsid w:val="005946c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Notaderodap">
    <w:name w:val="Footnote Text"/>
    <w:basedOn w:val="Normal"/>
    <w:link w:val="TextodenotaderodapChar"/>
    <w:unhideWhenUsed/>
    <w:qFormat/>
    <w:rsid w:val="005946c3"/>
    <w:pPr>
      <w:suppressAutoHyphens w:val="false"/>
      <w:spacing w:lineRule="auto" w:line="240" w:before="0" w:after="0"/>
    </w:pPr>
    <w:rPr>
      <w:rFonts w:ascii="Cambria" w:hAnsi="Cambria" w:eastAsia="Cambria" w:cs="Times New Roman"/>
      <w:sz w:val="20"/>
      <w:szCs w:val="20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B6A8F-5822-40C4-AAED-2121D0E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LibreOffice/7.1.5.2$Windows_X86_64 LibreOffice_project/85f04e9f809797b8199d13c421bd8a2b025d52b5</Application>
  <AppVersion>15.0000</AppVersion>
  <Pages>3</Pages>
  <Words>1209</Words>
  <Characters>6867</Characters>
  <CharactersWithSpaces>8039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2020-06-30T18:43:00Z</dcterms:created>
  <dc:creator>usuario</dc:creator>
  <dc:description/>
  <dc:language>pt-BR</dc:language>
  <cp:lastModifiedBy/>
  <cp:lastPrinted>2021-06-09T22:27:00Z</cp:lastPrinted>
  <dcterms:modified xsi:type="dcterms:W3CDTF">2021-10-04T19:00:40Z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