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55" w:after="0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09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3461"/>
        <w:gridCol w:w="1012"/>
        <w:gridCol w:w="2786"/>
      </w:tblGrid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 de Setembro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14h00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15h00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;sans-serif" w:hAnsi="Calibri;sans-serif"/>
                <w:kern w:val="0"/>
                <w:sz w:val="22"/>
                <w:szCs w:val="22"/>
                <w:lang w:eastAsia="en-US" w:bidi="ar-SA"/>
              </w:rPr>
              <w:t>Reunião online –</w:t>
            </w:r>
            <w:r>
              <w:rPr>
                <w:rFonts w:ascii="Calibri;sans-serif" w:hAnsi="Calibri;sans-serif"/>
                <w:kern w:val="0"/>
                <w:sz w:val="16"/>
                <w:szCs w:val="16"/>
                <w:lang w:eastAsia="en-US" w:bidi="ar-SA"/>
              </w:rPr>
              <w:t xml:space="preserve"> </w:t>
            </w:r>
            <w:hyperlink r:id="rId2">
              <w:r>
                <w:rPr>
                  <w:rStyle w:val="LinkdaInternet"/>
                  <w:rFonts w:ascii="Century Gothic;sans-serif" w:hAnsi="Century Gothic;sans-serif"/>
                  <w:color w:val="000000"/>
                  <w:sz w:val="16"/>
                  <w:szCs w:val="16"/>
                </w:rPr>
                <w:t>https://us02web.zoom.us/j/83086933068</w:t>
              </w:r>
            </w:hyperlink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4472"/>
        <w:gridCol w:w="2788"/>
      </w:tblGrid>
      <w:tr>
        <w:trPr>
          <w:trHeight w:val="20" w:hRule="atLeast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color w:val="000000" w:themeColor="text1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Coordenador- adjunto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Ricardo Luiz Leites de Oliveira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Assessoria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Francine Cláudia Kosciuv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 CEF- CAU/PR</w:t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Não houve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170" w:hRule="atLeast"/>
        </w:trPr>
        <w:tc>
          <w:tcPr>
            <w:tcW w:w="9074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Leitura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bookmarkStart w:id="0" w:name="_GoBack"/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bookmarkEnd w:id="0"/>
            <w:r>
              <w:rPr>
                <w:b/>
                <w:kern w:val="0"/>
                <w:sz w:val="22"/>
                <w:szCs w:val="22"/>
                <w:lang w:eastAsia="en-US" w:bidi="ar-SA"/>
              </w:rPr>
              <w:t>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Aprovação da Súmula da Reunião Ordinária nº 8 da CEF/PR: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83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 w:val="true"/>
        <w:bidi w:val="0"/>
        <w:spacing w:before="0" w:after="0"/>
        <w:ind w:left="0" w:right="0" w:hanging="0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23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Deliberação 035.2021 - COA- CAU/BR - Instituição da Comissão de Relações Institucionais; Extinção da Comissão de Relações Internacionais CRI- CAU/BR.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/>
            </w:pPr>
            <w:r>
              <w:rPr>
                <w:b w:val="false"/>
                <w:bCs w:val="false"/>
                <w:color w:val="0C0B0B"/>
                <w:kern w:val="0"/>
                <w:sz w:val="22"/>
                <w:szCs w:val="22"/>
                <w:lang w:eastAsia="en-US" w:bidi="ar-SA"/>
              </w:rPr>
              <w:t>A Faculdade Cesumar de Ponta Grossa/PR,  solicitou uma palestra ao CAU para os alunos do 8° e 9° período e que será realizada pela v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C0B0B"/>
                <w:spacing w:val="0"/>
                <w:kern w:val="0"/>
                <w:sz w:val="22"/>
                <w:szCs w:val="22"/>
                <w:lang w:val="pt-BR" w:eastAsia="en-US" w:bidi="ar-SA"/>
              </w:rPr>
              <w:t>ice- presidente, arq.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C0B0B"/>
                <w:spacing w:val="0"/>
                <w:sz w:val="22"/>
                <w:szCs w:val="22"/>
                <w:lang w:val="pt-BR"/>
              </w:rPr>
              <w:t xml:space="preserve"> </w:t>
            </w:r>
            <w:r>
              <w:rPr>
                <w:rStyle w:val="Nfase"/>
                <w:rFonts w:eastAsia="Times New Roman" w:cs="Times New Roman"/>
                <w:b w:val="false"/>
                <w:i w:val="false"/>
                <w:caps w:val="false"/>
                <w:smallCaps w:val="false"/>
                <w:color w:val="0C0B0B"/>
                <w:spacing w:val="0"/>
                <w:sz w:val="22"/>
                <w:szCs w:val="22"/>
                <w:lang w:val="pt-BR"/>
              </w:rPr>
              <w:t xml:space="preserve">Thaís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C0B0B"/>
                <w:spacing w:val="0"/>
                <w:sz w:val="22"/>
                <w:szCs w:val="22"/>
                <w:lang w:val="pt-BR"/>
              </w:rPr>
              <w:t>Marzurkiewicz</w:t>
            </w:r>
            <w:r>
              <w:rPr>
                <w:rFonts w:eastAsia="Times New Roman" w:cs="Times New Roman"/>
                <w:color w:val="0C0B0B"/>
                <w:sz w:val="22"/>
                <w:szCs w:val="22"/>
                <w:lang w:val="pt-BR"/>
              </w:rPr>
              <w:t xml:space="preserve"> no dia 21/10/2021.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Visita dos alunos da Faculdade Mater Dei -Pato Branco/PR na sede do  CAU/PR no dia 09/10/2021.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35" w:type="dxa"/>
        <w:jc w:val="left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7259"/>
      </w:tblGrid>
      <w:tr>
        <w:trPr>
          <w:tblHeader w:val="true"/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w w:val="99"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 xml:space="preserve">Informe: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Registro de Egresso (a) EAD – Liminar .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Jurídico – CAU/PR –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Prot. 1249920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/2021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0" w:after="0"/>
              <w:ind w:left="113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4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both"/>
              <w:rPr/>
            </w:pPr>
            <w:r>
              <w:rPr>
                <w:sz w:val="22"/>
                <w:szCs w:val="22"/>
              </w:rPr>
              <w:t>Foi deferida a liminar impetrada por Marianna Falcão, egressa de curso EAD, determinando que o CAU/PR efetue o registro profissional da arquiteta. O Poder Judiciário também requereu a comprovação deste registro até dia 23 de setembro, que foi atendido.</w:t>
            </w:r>
          </w:p>
          <w:p>
            <w:pPr>
              <w:pStyle w:val="Normal"/>
              <w:widowControl w:val="false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  <w:bookmarkStart w:id="1" w:name="_Hlk667227621"/>
            <w:bookmarkStart w:id="2" w:name="_Hlk667227621"/>
            <w:bookmarkEnd w:id="2"/>
          </w:p>
        </w:tc>
      </w:tr>
    </w:tbl>
    <w:p>
      <w:pPr>
        <w:pStyle w:val="Normal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3"/>
        <w:gridCol w:w="7265"/>
      </w:tblGrid>
      <w:tr>
        <w:trPr>
          <w:tblHeader w:val="true"/>
          <w:trHeight w:val="170" w:hRule="atLeast"/>
        </w:trPr>
        <w:tc>
          <w:tcPr>
            <w:tcW w:w="1813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Informe: Questionário; Contribuições para o  “Encontro de Coordenadores de Arquitetura e Urbanismo” - CAU/PR.</w:t>
            </w:r>
          </w:p>
        </w:tc>
      </w:tr>
      <w:tr>
        <w:trPr>
          <w:trHeight w:val="170" w:hRule="atLeast"/>
        </w:trPr>
        <w:tc>
          <w:tcPr>
            <w:tcW w:w="1813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CEF- CAU/PR</w:t>
            </w:r>
          </w:p>
        </w:tc>
      </w:tr>
      <w:tr>
        <w:trPr>
          <w:trHeight w:val="170" w:hRule="atLeast"/>
        </w:trPr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3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 xml:space="preserve">Após o término do prazo para resposta do questionário online enviado aos coordenadores (as) de curso, foram compiladas as informações para </w:t>
            </w:r>
            <w:r>
              <w:rPr>
                <w:rFonts w:eastAsia="Times New Roman" w:cs="Calibri" w:cstheme="minorHAnsi"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auxiliar na construção do evento que será realizado provavelmente no final de outubro de forma virtual.</w:t>
            </w:r>
          </w:p>
        </w:tc>
      </w:tr>
      <w:tr>
        <w:trPr>
          <w:trHeight w:val="170" w:hRule="atLeast"/>
        </w:trPr>
        <w:tc>
          <w:tcPr>
            <w:tcW w:w="1813" w:type="dxa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65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Programação do Encontro de Coordenadores de curso .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 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color w:val="0C0B0B"/>
              </w:rPr>
            </w:pPr>
            <w:r>
              <w:rPr>
                <w:b/>
                <w:color w:val="0C0B0B"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color w:val="0C0B0B"/>
              </w:rPr>
            </w:pPr>
            <w:r>
              <w:rPr>
                <w:b/>
                <w:color w:val="0C0B0B"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  <w:t xml:space="preserve">A CEF/PR solicitou na data de 27/09/2021,  uma reunião com o presidente, arq. Milton </w:t>
            </w:r>
            <w:r>
              <w:rPr>
                <w:b w:val="false"/>
                <w:i w:val="false"/>
                <w:caps w:val="false"/>
                <w:smallCaps w:val="false"/>
                <w:color w:val="0C0B0B"/>
                <w:spacing w:val="0"/>
                <w:sz w:val="21"/>
              </w:rPr>
              <w:t xml:space="preserve">Zanelatto e </w:t>
            </w:r>
            <w:r>
              <w:rPr/>
              <w:t xml:space="preserve"> </w:t>
            </w:r>
            <w:r>
              <w:rPr>
                <w:rFonts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  <w:t>com o objetivo de apresentar alguns nomes de palestrantes  acertando assim  algumas questões ainda pendentes  referente aos preparativos do “Encontro de Coordenadores de Curso”.</w:t>
            </w:r>
          </w:p>
        </w:tc>
      </w:tr>
    </w:tbl>
    <w:p>
      <w:pPr>
        <w:pStyle w:val="Corpodotexto"/>
        <w:spacing w:before="120" w:after="120"/>
        <w:ind w:right="6" w:hanging="0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Universidade Pitágoras Unopar EAD – Londrina/PR.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 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color w:val="0C0B0B"/>
              </w:rPr>
            </w:pP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A coordenadora relata que a Universidade Pitágoras </w:t>
            </w:r>
            <w:r>
              <w:rPr>
                <w:rFonts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  <w:t xml:space="preserve">Unopar de Londrina/PR  </w:t>
            </w:r>
            <w:r>
              <w:rPr>
                <w:color w:val="0C0B0B"/>
                <w:kern w:val="0"/>
                <w:sz w:val="22"/>
                <w:szCs w:val="22"/>
                <w:lang w:eastAsia="en-US" w:bidi="ar-SA"/>
              </w:rPr>
              <w:t xml:space="preserve">EAD, concluirá sua primeira turma do curso de arquitetura e urbanismo em dezembro de 2021. Com base nos documentos que a CEF/PR recebeu em 2017, informando que  o curso possui mais de 60% das disciplinas na modalidade EAD, com carga horária de 3600 horas. O coordenador do curso de arquitetura e urbanismo, em contato com a CEF/PR, através da sua assessoria e coordenação, demonstrou grande preocupação em relação ao cadastro do curso no SICCAU e os procedimentos para o registro dos egressos. Ciente que o CAU/BR assim como os demais Ufs são contrários ao ensino nesta modalidade  e demonstram grande preocupação com a qualidade profissional destes egressos. Portanto a CEF/PR endossa o posicionamento do CAU/BR, </w:t>
            </w:r>
            <w:r>
              <w:rPr>
                <w:rFonts w:eastAsia="Times New Roman" w:cs="Times New Roman"/>
                <w:color w:val="0C0B0B"/>
                <w:kern w:val="0"/>
                <w:sz w:val="22"/>
                <w:szCs w:val="22"/>
                <w:lang w:val="pt-BR" w:eastAsia="en-US" w:bidi="ar-SA"/>
              </w:rPr>
              <w:t>manifestando-se contra ao ensino na modalidade à distância, e por ora não efetivar o registro profissional dos requerentes, devendo aguardar a resolução das controvérsias jurídicas tornando pacificado o entendimento sobre a matéria.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CEF/PR : Atividades de Extensão Universitária – Minuta de deliberação.~~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 CAU/BR e CEF - CAU/RS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A CEF- CAU/PR analisou a deliberação da CEF/BR n° 031/2019 onde orienta sobre os procedimentos quanto a extensão universitária, escritório modelo e empresa juniores. Com auxílio do estudo realizado pela CEF- RS, estabelece  os critérios  para auxiliar as instituições de ensino do Paraná.</w:t>
            </w:r>
          </w:p>
        </w:tc>
      </w:tr>
    </w:tbl>
    <w:p>
      <w:pPr>
        <w:pStyle w:val="Corpodotexto"/>
        <w:rPr/>
      </w:pPr>
      <w:r>
        <w:rPr/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en-US" w:bidi="ar-SA"/>
              </w:rPr>
              <w:t>Alteração na Resolução CAU/BR  51 – Áreas de atuação dos arquitetos.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 CAU/BR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 w:ascii="Arial;Helvetica;sans-serif" w:hAnsi="Arial;Helvetica;sans-serif"/>
                <w:b w:val="false"/>
                <w:bCs w:val="false"/>
                <w:i w:val="false"/>
                <w:caps w:val="false"/>
                <w:smallCaps w:val="false"/>
                <w:color w:val="050505"/>
                <w:spacing w:val="0"/>
                <w:kern w:val="0"/>
                <w:sz w:val="20"/>
                <w:szCs w:val="22"/>
                <w:lang w:val="pt-BR" w:eastAsia="en-US" w:bidi="ar-SA"/>
              </w:rPr>
              <w:t>O Cons. Ricardo L Leites de Oliveira, relata sobre a  redação onde estabelece que as áreas de atuação dos arquitetos e urbanistas para o exercício profissional da Arquitetura e Urbanismo no Brasil são “definidas a partir das competências e habilidades adquiridas na formação do profissional”. Portanto, quem não tem formação específica não pode trabalhar na área, assim como ocorre em outras profissões.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27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Setembro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2021.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Style w:val="TableNormal"/>
        <w:tblpPr w:bottomFromText="0" w:horzAnchor="margin" w:leftFromText="141" w:rightFromText="141" w:tblpX="0" w:tblpY="351" w:topFromText="0" w:vertAnchor="text"/>
        <w:tblW w:w="804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290"/>
        <w:gridCol w:w="3755"/>
      </w:tblGrid>
      <w:tr>
        <w:trPr>
          <w:trHeight w:val="450" w:hRule="atLeast"/>
        </w:trPr>
        <w:tc>
          <w:tcPr>
            <w:tcW w:w="429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Constança Lacerda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83" w:right="860" w:hanging="0"/>
              <w:jc w:val="center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Coordenador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CEF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- CAU/PR</w:t>
            </w:r>
          </w:p>
        </w:tc>
        <w:tc>
          <w:tcPr>
            <w:tcW w:w="375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867" w:right="184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67" w:right="184" w:hanging="0"/>
              <w:jc w:val="center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Assistente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da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CEF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- CAU/PR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84" w:hanging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134" w:header="437" w:top="1701" w:footer="1327" w:bottom="170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80" w:after="1"/>
        <w:ind w:right="3" w:hanging="0"/>
        <w:rPr>
          <w:rFonts w:ascii="Times New Roman" w:hAnsi="Times New Roman" w:eastAsia="Times New Roman" w:cs="Times New Roman"/>
          <w:b/>
          <w:b/>
          <w:bCs/>
          <w:color w:val="auto"/>
          <w:kern w:val="0"/>
          <w:lang w:val="pt-BR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lang w:val="pt-BR" w:eastAsia="en-US" w:bidi="ar-SA"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en-US" w:bidi="ar-SA"/>
        </w:rPr>
        <w:t>09</w:t>
      </w:r>
      <w:r>
        <w:rPr>
          <w:sz w:val="22"/>
          <w:szCs w:val="22"/>
        </w:rPr>
        <w:t>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2021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 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769"/>
        <w:gridCol w:w="806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 - Adjunta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André Luiz Sell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09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2021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27/09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08ª REUNIÃO ORDINÁRIA CEF –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439" w:top="1701" w:footer="1329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Century Gothic">
    <w:altName w:val="sans-serif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DaxCondensed">
    <w:charset w:val="00"/>
    <w:family w:val="roman"/>
    <w:pitch w:val="variable"/>
  </w:font>
  <w:font w:name="DaxCondensed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3A77F5E9">
              <wp:simplePos x="0" y="0"/>
              <wp:positionH relativeFrom="margin">
                <wp:align>center</wp:align>
              </wp:positionH>
              <wp:positionV relativeFrom="page">
                <wp:posOffset>10125075</wp:posOffset>
              </wp:positionV>
              <wp:extent cx="4391660" cy="54356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0920" cy="54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 (41) 3218.0200</w:t>
                          </w:r>
                        </w:p>
                        <w:p>
                          <w:pPr>
                            <w:pStyle w:val="Contedodoquadro"/>
                            <w:ind w:left="11" w:right="6" w:hanging="0"/>
                            <w:jc w:val="center"/>
                            <w:rPr>
                              <w:rFonts w:ascii="DaxCondensed" w:hAnsi="DaxCondensed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53.85pt;margin-top:797.25pt;width:345.7pt;height:42.7pt;mso-wrap-style:square;v-text-anchor:top;mso-position-horizontal:center;mso-position-horizontal-relative:margin;mso-position-vertical-relative:page" wp14:anchorId="3A77F5E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 (41) 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 wp14:anchorId="5709CFEA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76885" cy="181610"/>
              <wp:effectExtent l="0" t="0" r="9525" b="0"/>
              <wp:wrapNone/>
              <wp:docPr id="9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3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3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path="m0,0l-2147483645,0l-2147483645,-2147483646l0,-2147483646xe" stroked="f" style="position:absolute;margin-left:441.45pt;margin-top:807.75pt;width:37.45pt;height:14.2pt;mso-wrap-style:square;v-text-anchor:middle;mso-position-horizontal-relative:margin" wp14:anchorId="5709CFE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3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3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 w:before="0" w:after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6A041A75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181985" cy="187960"/>
              <wp:effectExtent l="0" t="0" r="9525" b="1270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20" cy="18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006666"/>
                              <w:spacing w:val="-3"/>
                              <w:shd w:fill="FFFFFF" w:val="clear"/>
                              <w:lang w:val="pt-BR"/>
                            </w:rPr>
                            <w:t>Ensino e  Formação - CEF-CAU/PR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101.5pt;margin-top:64.5pt;width:250.45pt;height:14.7pt;mso-wrap-style:square;v-text-anchor:top;mso-position-horizontal:center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6666"/>
                        <w:spacing w:val="-3"/>
                        <w:shd w:fill="FFFFFF" w:val="clear"/>
                        <w:lang w:val="pt-BR"/>
                      </w:rPr>
                      <w:t>Ensino e  Formação - CEF-CAU/PR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6A041A75">
              <wp:simplePos x="0" y="0"/>
              <wp:positionH relativeFrom="margin">
                <wp:posOffset>1280795</wp:posOffset>
              </wp:positionH>
              <wp:positionV relativeFrom="page">
                <wp:posOffset>819150</wp:posOffset>
              </wp:positionV>
              <wp:extent cx="3194050" cy="419735"/>
              <wp:effectExtent l="0" t="0" r="9525" b="12700"/>
              <wp:wrapNone/>
              <wp:docPr id="4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3560" cy="419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/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 Ensino e Formação CEF- CAU/PR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path="m0,0l-2147483645,0l-2147483645,-2147483646l0,-2147483646xe" stroked="f" style="position:absolute;margin-left:100.85pt;margin-top:64.5pt;width:251.4pt;height:32.95pt;mso-wrap-style:square;v-text-anchor:top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/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 Ensino e Formação CEF- CAU/PR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308693306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Application>LibreOffice/7.1.5.2$Windows_X86_64 LibreOffice_project/85f04e9f809797b8199d13c421bd8a2b025d52b5</Application>
  <AppVersion>15.0000</AppVersion>
  <Pages>3</Pages>
  <Words>815</Words>
  <Characters>4646</Characters>
  <CharactersWithSpaces>5388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2021-07-01T16:16:00Z</dcterms:created>
  <dc:creator>Walter Gustavo Linzmeyer</dc:creator>
  <dc:description/>
  <cp:keywords>CAU/PR CAU/PR CAU/PR CAU/PR CAU/PR CAU/PR CAU/PR CAU/PR CAU/PR CAU/PR CAU/PR CAU/PR CAU/PR CAU/PR CAU/PR CAU/PR CAU/PR</cp:keywords>
  <dc:language>pt-BR</dc:language>
  <cp:lastModifiedBy/>
  <cp:lastPrinted>2021-05-10T23:03:00Z</cp:lastPrinted>
  <dcterms:modified xsi:type="dcterms:W3CDTF">2021-10-04T18:54:44Z</dcterms:modified>
  <cp:revision>71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