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1343140/2021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GETEC – Gerência Técnica de Fiscalização e Atendimento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Ausência de Registro no CAU (PJ) – AXIOMA ARQUITETURA LTDA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050/2022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31 de maio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>
      <w:pPr>
        <w:pStyle w:val="Normal"/>
        <w:shd w:val="clear" w:color="auto" w:fill="FFFFFF"/>
        <w:spacing w:lineRule="auto" w:line="24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do Conselheiro Relator Maugham Zaze;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000000" w:themeColor="text1"/>
          <w:kern w:val="0"/>
          <w:sz w:val="22"/>
          <w:szCs w:val="22"/>
          <w:lang w:val="pt-BR" w:eastAsia="en-US" w:bidi="ar-SA"/>
        </w:rPr>
        <w:t>Acompanhar o voto do conselheiro relator, no sentido de manter o auto de infração e multa;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000000" w:themeColor="text1"/>
          <w:kern w:val="0"/>
          <w:sz w:val="22"/>
          <w:szCs w:val="22"/>
          <w:lang w:val="pt-BR" w:eastAsia="en-US" w:bidi="ar-SA"/>
        </w:rPr>
        <w:t>Solicitar a GEFIS que encaminhe cópia do processo a CED-CAU/PR, para verificação ético disciplinar por parte dos sócios da empresa;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conhecimento;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31 de maio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5ª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3"/>
        <w:gridCol w:w="1369"/>
        <w:gridCol w:w="831"/>
        <w:gridCol w:w="2678"/>
        <w:gridCol w:w="572"/>
        <w:gridCol w:w="381"/>
        <w:gridCol w:w="439"/>
        <w:gridCol w:w="516"/>
        <w:gridCol w:w="172"/>
        <w:gridCol w:w="782"/>
        <w:gridCol w:w="948"/>
      </w:tblGrid>
      <w:tr>
        <w:trPr/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5ª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31/05/2022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 w:val="false"/>
                <w:color w:val="000000" w:themeColor="text1"/>
                <w:kern w:val="0"/>
                <w:sz w:val="24"/>
                <w:szCs w:val="24"/>
                <w:lang w:val="pt-BR" w:bidi="ar-SA"/>
              </w:rPr>
              <w:t>Manter o auto de infração e multa e encaminhar cópia do processo a CED-CAU/PR.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Protocolo: 1343140/2021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59633871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LibreOffice/7.2.1.2$Windows_X86_64 LibreOffice_project/87b77fad49947c1441b67c559c339af8f3517e22</Application>
  <AppVersion>15.0000</AppVersion>
  <Pages>2</Pages>
  <Words>503</Words>
  <Characters>2804</Characters>
  <CharactersWithSpaces>3258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2022-06-23T12:27:41Z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