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7515"/>
      </w:tblGrid>
      <w:tr>
        <w:trPr>
          <w:trHeight w:val="39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COORDENADOR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iCs/>
                <w:szCs w:val="24"/>
              </w:rPr>
            </w:pPr>
            <w:r>
              <w:rPr>
                <w:rFonts w:ascii="Times New Roman" w:hAnsi="Times New Roman"/>
                <w:b w:val="false"/>
                <w:bCs/>
                <w:iCs/>
                <w:kern w:val="0"/>
                <w:szCs w:val="24"/>
                <w:lang w:val="pt-BR" w:bidi="ar-SA"/>
              </w:rPr>
              <w:t>Conselheiro Ormy Leocádio Hutner Junior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Comissão de Exercício Profissional - CAU/PR</w:t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kern w:val="0"/>
                <w:szCs w:val="24"/>
                <w:lang w:val="pt-BR" w:bidi="ar-SA"/>
              </w:rPr>
              <w:t xml:space="preserve">Distribuição dos Processos de Fiscalização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141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2022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szCs w:val="24"/>
        </w:rPr>
      </w:pPr>
      <w:r>
        <w:rPr>
          <w:rFonts w:cs="Times New Roman" w:ascii="Times New Roman" w:hAnsi="Times New Roman"/>
          <w:szCs w:val="24"/>
        </w:rPr>
        <w:t xml:space="preserve">A COMISSÃO DE EXERCÍCIO PROFISSIONAL (CEP-CAU/PR), reunida extraordinariamente de forma </w:t>
      </w:r>
      <w:r>
        <w:rPr>
          <w:rFonts w:cs="Times New Roman" w:ascii="Times New Roman" w:hAnsi="Times New Roman"/>
          <w:szCs w:val="24"/>
        </w:rPr>
        <w:t>virtual</w:t>
      </w:r>
      <w:r>
        <w:rPr>
          <w:rFonts w:cs="Times New Roman" w:ascii="Times New Roman" w:hAnsi="Times New Roman"/>
          <w:szCs w:val="24"/>
        </w:rPr>
        <w:t xml:space="preserve"> no dia 04 de novembro de 2022, no uso das competências que lhe conferem o Regimento Interno do CAU/PR, após análise do assunto em epígrafe, e</w:t>
      </w:r>
    </w:p>
    <w:p>
      <w:pPr>
        <w:pStyle w:val="Normal"/>
        <w:spacing w:lineRule="auto" w:line="36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CEP-CAU/PR.</w:t>
      </w:r>
    </w:p>
    <w:p>
      <w:pPr>
        <w:pStyle w:val="Normal"/>
        <w:spacing w:lineRule="auto" w:line="36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que os processos foram enviados com antecedência e não houve manifestação de algum impedimento.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rFonts w:ascii="Times New Roman" w:hAnsi="Times New Roman"/>
        </w:rPr>
        <w:t>Distribuir aos conselheiros os processos abaixo listados para relato e voto:</w:t>
      </w:r>
    </w:p>
    <w:p>
      <w:pPr>
        <w:pStyle w:val="Normal"/>
        <w:suppressAutoHyphens w:val="false"/>
        <w:spacing w:lineRule="auto" w:line="360"/>
        <w:ind w:left="720" w:hanging="0"/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1.1 Ormy Leocádio Hütner Junior: </w:t>
      </w:r>
      <w:r>
        <w:rPr>
          <w:rFonts w:eastAsia="Arial" w:ascii="Times New Roman" w:hAnsi="Times New Roman"/>
          <w:color w:val="000000" w:themeColor="text1"/>
          <w:kern w:val="0"/>
          <w:sz w:val="24"/>
          <w:szCs w:val="24"/>
          <w:lang w:val="pt-BR" w:eastAsia="pt-BR" w:bidi="ar-SA"/>
        </w:rPr>
        <w:t>1418276/2021, 1423958/2021, 1466853/2022, 1589110/2022</w:t>
      </w:r>
    </w:p>
    <w:p>
      <w:pPr>
        <w:pStyle w:val="Normal"/>
        <w:suppressAutoHyphens w:val="false"/>
        <w:spacing w:lineRule="auto" w:line="360"/>
        <w:ind w:left="720" w:hanging="0"/>
        <w:rPr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szCs w:val="24"/>
          <w:lang w:eastAsia="ar-SA"/>
        </w:rPr>
        <w:t xml:space="preserve">1.2 Vandinês Gremaschi Canassa: </w:t>
      </w: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shd w:fill="auto" w:val="clear"/>
          <w:lang w:val="pt-BR" w:eastAsia="pt-BR" w:bidi="ar-SA"/>
        </w:rPr>
        <w:t>1559812/2022, 1546947/2022, 1471015/2022, 1470500/2022</w:t>
      </w:r>
    </w:p>
    <w:p>
      <w:pPr>
        <w:pStyle w:val="Normal"/>
        <w:suppressAutoHyphens w:val="false"/>
        <w:spacing w:lineRule="auto" w:line="360"/>
        <w:ind w:left="720" w:hanging="0"/>
        <w:rPr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szCs w:val="24"/>
          <w:lang w:eastAsia="ar-SA"/>
        </w:rPr>
        <w:t xml:space="preserve">1.3 Maugham Zaze: </w:t>
      </w: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shd w:fill="auto" w:val="clear"/>
          <w:lang w:val="pt-BR" w:eastAsia="pt-BR" w:bidi="ar-SA"/>
        </w:rPr>
        <w:t>1588852/2022, 1534385/2022, 1431331/2021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/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240" w:after="116"/>
        <w:rPr/>
      </w:pPr>
      <w:r>
        <w:rPr>
          <w:rFonts w:cs="Times New Roman"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HUTNER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372"/>
        <w:gridCol w:w="827"/>
        <w:gridCol w:w="2681"/>
        <w:gridCol w:w="573"/>
        <w:gridCol w:w="381"/>
        <w:gridCol w:w="440"/>
        <w:gridCol w:w="517"/>
        <w:gridCol w:w="171"/>
        <w:gridCol w:w="782"/>
        <w:gridCol w:w="948"/>
      </w:tblGrid>
      <w:tr>
        <w:trPr/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Coordenadora Adjunta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1ª REUNIÃO EXTRAORDINÁRIA 2022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04/11/2022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</w:rPr>
              <w:t xml:space="preserve"> Distribuição dos processos de fiscalização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bookmarkStart w:id="0" w:name="_GoBack"/>
            <w:bookmarkEnd w:id="0"/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Tessa Paduano Rodrigues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Hutner Junior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7432725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c15a7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LibreOffice/7.2.1.2$Windows_X86_64 LibreOffice_project/87b77fad49947c1441b67c559c339af8f3517e22</Application>
  <AppVersion>15.0000</AppVersion>
  <Pages>2</Pages>
  <Words>413</Words>
  <Characters>2458</Characters>
  <CharactersWithSpaces>2825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2022-02-14T20:34:00Z</dcterms:created>
  <dc:creator>user</dc:creator>
  <dc:description/>
  <dc:language>pt-BR</dc:language>
  <cp:lastModifiedBy/>
  <cp:lastPrinted>2019-12-27T17:25:00Z</cp:lastPrinted>
  <dcterms:modified xsi:type="dcterms:W3CDTF">2022-11-08T10:58:02Z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