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154BA3D" w:rsidR="00032FF0" w:rsidRPr="00AA351F" w:rsidRDefault="00D56F3F" w:rsidP="00D56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04EAC">
              <w:rPr>
                <w:rFonts w:ascii="Times New Roman" w:hAnsi="Times New Roman"/>
              </w:rPr>
              <w:t>Protocolo n° 982039/2019 - Processo de Fiscalização n° 1000091571/2019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7C02B3" w:rsidR="00032FF0" w:rsidRPr="00964BA9" w:rsidRDefault="00D56F3F" w:rsidP="00D5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BA16ABC" w:rsidR="00032FF0" w:rsidRPr="00964BA9" w:rsidRDefault="00032FF0" w:rsidP="00D56F3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A3233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D56F3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35F3C85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D56F3F">
        <w:rPr>
          <w:rFonts w:ascii="Times New Roman" w:hAnsi="Times New Roman"/>
        </w:rPr>
        <w:t>Claudio Forte Maiolino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56F3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56F3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56F3F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2020-03-20T20:34:00Z</dcterms:created>
  <dcterms:modified xsi:type="dcterms:W3CDTF">2020-05-06T17:25:00Z</dcterms:modified>
</cp:coreProperties>
</file>