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6EC0D3FF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77046F" w:rsidRPr="0077046F">
              <w:rPr>
                <w:rFonts w:ascii="Times New Roman" w:hAnsi="Times New Roman"/>
                <w:iCs/>
                <w:szCs w:val="24"/>
              </w:rPr>
              <w:t>1000197161-1A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0A8B8DE6" w:rsidR="00486655" w:rsidRDefault="00E00BA5" w:rsidP="00F15FEC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</w:t>
            </w:r>
            <w:r w:rsidR="00F15FEC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77046F" w:rsidRPr="0077046F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JGP CONSTRUTORA E INCORPORADORA DE IMÓVEIS LTDA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171C02B3" w:rsidR="00486655" w:rsidRDefault="0077046F" w:rsidP="00F15FEC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049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7AB89528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7046F" w:rsidRPr="0077046F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0D6FA1A8" w:rsidR="007B2275" w:rsidRPr="007B2275" w:rsidRDefault="00D671CF" w:rsidP="00F15FEC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manter o Auto de Infração e m</w:t>
      </w:r>
      <w:r w:rsidR="0017381E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ulta no valor de </w:t>
      </w:r>
      <w:r w:rsidR="0077046F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7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77046F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sete</w:t>
      </w:r>
      <w:bookmarkStart w:id="0" w:name="_GoBack"/>
      <w:bookmarkEnd w:id="0"/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) anuidades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4137D4CF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77046F" w:rsidRPr="0077046F">
              <w:rPr>
                <w:rFonts w:ascii="Times New Roman" w:eastAsia="Cambria" w:hAnsi="Times New Roman" w:cs="Times New Roman"/>
                <w:b/>
                <w:sz w:val="22"/>
              </w:rPr>
              <w:t>1000197161-1A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7D335" w14:textId="77777777" w:rsidR="006F5590" w:rsidRDefault="006F5590">
      <w:pPr>
        <w:spacing w:after="0" w:line="240" w:lineRule="auto"/>
      </w:pPr>
      <w:r>
        <w:separator/>
      </w:r>
    </w:p>
  </w:endnote>
  <w:endnote w:type="continuationSeparator" w:id="0">
    <w:p w14:paraId="06AC465F" w14:textId="77777777" w:rsidR="006F5590" w:rsidRDefault="006F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0AE1D2A5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17381E">
      <w:rPr>
        <w:rFonts w:ascii="DaxCondensed" w:hAnsi="DaxCondensed"/>
        <w:b/>
        <w:color w:val="A6A6A6"/>
        <w:spacing w:val="1"/>
        <w:sz w:val="18"/>
      </w:rPr>
      <w:t xml:space="preserve"> 04</w:t>
    </w:r>
    <w:r w:rsidR="0077046F">
      <w:rPr>
        <w:rFonts w:ascii="DaxCondensed" w:hAnsi="DaxCondensed"/>
        <w:b/>
        <w:color w:val="A6A6A6"/>
        <w:spacing w:val="1"/>
        <w:sz w:val="18"/>
      </w:rPr>
      <w:t>9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6CB2D" w14:textId="77777777" w:rsidR="006F5590" w:rsidRDefault="006F5590">
      <w:pPr>
        <w:spacing w:after="0" w:line="240" w:lineRule="auto"/>
      </w:pPr>
      <w:r>
        <w:separator/>
      </w:r>
    </w:p>
  </w:footnote>
  <w:footnote w:type="continuationSeparator" w:id="0">
    <w:p w14:paraId="067D7192" w14:textId="77777777" w:rsidR="006F5590" w:rsidRDefault="006F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77046F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77046F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7381E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A64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6F5590"/>
    <w:rsid w:val="0077046F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C7D6A"/>
    <w:rsid w:val="00EE3763"/>
    <w:rsid w:val="00EF2C3F"/>
    <w:rsid w:val="00F05D92"/>
    <w:rsid w:val="00F11164"/>
    <w:rsid w:val="00F15FEC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8</cp:revision>
  <cp:lastPrinted>2023-12-20T20:25:00Z</cp:lastPrinted>
  <dcterms:created xsi:type="dcterms:W3CDTF">2024-05-02T19:14:00Z</dcterms:created>
  <dcterms:modified xsi:type="dcterms:W3CDTF">2024-05-02T20:01:00Z</dcterms:modified>
  <dc:language>pt-BR</dc:language>
</cp:coreProperties>
</file>