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D778B73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729A7" w:rsidRPr="009729A7">
              <w:rPr>
                <w:iCs/>
                <w:szCs w:val="24"/>
              </w:rPr>
              <w:t>1000214354-1A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2A82D8D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>Exercício Ilegal da Profissão (PF) – EDERSON SANTOS DA COSTA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1D5A64F" w:rsidR="003438A7" w:rsidRPr="00001257" w:rsidRDefault="003438A7" w:rsidP="0084009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316E">
              <w:rPr>
                <w:rFonts w:eastAsia="Cambria"/>
                <w:b/>
                <w:lang w:eastAsia="pt-BR"/>
              </w:rPr>
              <w:t>12</w:t>
            </w:r>
            <w:r w:rsidR="009729A7">
              <w:rPr>
                <w:rFonts w:eastAsia="Cambria"/>
                <w:b/>
                <w:lang w:eastAsia="pt-BR"/>
              </w:rPr>
              <w:t>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0F2AEA2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53230C" w:rsidRPr="0053230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5213925D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666013D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D7726BD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F15E34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5BCBA44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4428145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7362AF5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Pr="00001257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30377AE4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9729A7" w:rsidRPr="009729A7">
              <w:rPr>
                <w:b/>
                <w:sz w:val="20"/>
                <w:szCs w:val="20"/>
              </w:rPr>
              <w:t>1000214354-1A</w:t>
            </w:r>
            <w:bookmarkStart w:id="1" w:name="_GoBack"/>
            <w:bookmarkEnd w:id="1"/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E7A6" w14:textId="77777777" w:rsidR="001C4075" w:rsidRDefault="001C4075" w:rsidP="00F21A0B">
      <w:pPr>
        <w:spacing w:after="0" w:line="240" w:lineRule="auto"/>
      </w:pPr>
      <w:r>
        <w:separator/>
      </w:r>
    </w:p>
  </w:endnote>
  <w:endnote w:type="continuationSeparator" w:id="0">
    <w:p w14:paraId="06B09BD3" w14:textId="77777777" w:rsidR="001C4075" w:rsidRDefault="001C407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729A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729A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729A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729A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5BD35" w14:textId="77777777" w:rsidR="001C4075" w:rsidRDefault="001C4075" w:rsidP="00F21A0B">
      <w:pPr>
        <w:spacing w:after="0" w:line="240" w:lineRule="auto"/>
      </w:pPr>
      <w:r>
        <w:separator/>
      </w:r>
    </w:p>
  </w:footnote>
  <w:footnote w:type="continuationSeparator" w:id="0">
    <w:p w14:paraId="1BAD8338" w14:textId="77777777" w:rsidR="001C4075" w:rsidRDefault="001C407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2A45C-E3F8-4F05-8F2B-C40910F9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2024-07-29T20:28:00Z</dcterms:created>
  <dcterms:modified xsi:type="dcterms:W3CDTF">2024-09-05T19:26:00Z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