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0" w:right="95" w:hanging="0"/>
        <w:rPr/>
      </w:pPr>
      <w:r>
        <w:rPr>
          <w:spacing w:val="-1"/>
          <w:sz w:val="24"/>
          <w:szCs w:val="24"/>
        </w:rPr>
        <w:t>SÚMULA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9</w:t>
      </w:r>
      <w:r>
        <w:rPr>
          <w:spacing w:val="-11"/>
          <w:sz w:val="24"/>
          <w:szCs w:val="24"/>
        </w:rPr>
        <w:t>°</w:t>
      </w:r>
      <w:r>
        <w:rPr>
          <w:spacing w:val="-1"/>
          <w:sz w:val="24"/>
          <w:szCs w:val="24"/>
        </w:rPr>
        <w:t xml:space="preserve"> REUNIÃO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ORDINÁRIA 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 xml:space="preserve">CEF- </w:t>
      </w:r>
      <w:r>
        <w:rPr>
          <w:sz w:val="24"/>
          <w:szCs w:val="24"/>
        </w:rPr>
        <w:t>CAU/PR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37"/>
        <w:gridCol w:w="3248"/>
        <w:gridCol w:w="1011"/>
        <w:gridCol w:w="2773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Data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23 de setembro de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Horário</w:t>
            </w:r>
          </w:p>
        </w:tc>
        <w:tc>
          <w:tcPr>
            <w:tcW w:w="277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14h</w:t>
            </w: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15h22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Local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0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Umuarama - CAU/PR –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Hibrida -  LinK 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097"/>
        <w:gridCol w:w="4183"/>
        <w:gridCol w:w="2794"/>
      </w:tblGrid>
      <w:tr>
        <w:trPr>
          <w:trHeight w:val="20" w:hRule="atLeast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Participantes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Érica Bernabé Takanashi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Membro - Suplente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  <w:t>Membro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Assessoria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Francine Cláudia Kosciuv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Assistente- CEF/PR.</w:t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Convidados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0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Não houve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973"/>
      </w:tblGrid>
      <w:tr>
        <w:trPr>
          <w:trHeight w:val="109" w:hRule="atLeast"/>
        </w:trPr>
        <w:tc>
          <w:tcPr>
            <w:tcW w:w="9069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42" w:right="155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Aprovação: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úmula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n° 08 .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>2024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1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70" w:hanging="0"/>
              <w:jc w:val="both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Aprovada e encaminhada para publicação no site do CAU/PR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COMUNICAÇÕES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23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Responsável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/>
              <w:t>Francine C. Kosciuv</w:t>
            </w:r>
          </w:p>
        </w:tc>
      </w:tr>
      <w:tr>
        <w:trPr>
          <w:trHeight w:val="23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Comunicados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Informe: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Envio de convites para as palestrantes.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Informe: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Formatação do convite referente o X Encontro de coordenadores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de Curso de Arquitetura e Urbanismo do Paraná.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Informe: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Texto DCNs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-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Atualizações.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I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nforme: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Congresso Brasileiro de Arquitetos Sul- Solicitação IAB.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ORDEM DO DIA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5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Convite para CEFs-UF (Coordenação), Conselheiros CAU/PR e entidades de A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rquitetura e Urbanismo.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52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 xml:space="preserve">O Conselheiro Ricardo Sardo, solicitou que seja encaminhado o convite do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X Encontro de coordenadores de Curso de Arquitetura e Urbanismo do Paraná, para os demais CAU/Ufs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e entidades de arquitetura e urbanismo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. Portanto será solicitado ao gabinete o direcionamento do convite.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O</w:t>
            </w: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rganização </w:t>
            </w: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e ajustes finais para </w:t>
            </w: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o X Encontro de Coordenadores de curso de Arquitetura e Urbanismo do Paraná.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</w:rPr>
              <w:t>Tema;</w:t>
            </w:r>
            <w:r>
              <w:rPr>
                <w:sz w:val="24"/>
              </w:rPr>
              <w:t xml:space="preserve"> Projeto Pedagógico e o </w:t>
            </w:r>
            <w:r>
              <w:rPr>
                <w:sz w:val="24"/>
              </w:rPr>
              <w:t>P</w:t>
            </w:r>
            <w:r>
              <w:rPr>
                <w:sz w:val="24"/>
                <w:szCs w:val="24"/>
                <w:lang w:val="pt-BR"/>
              </w:rPr>
              <w:t xml:space="preserve">anorama do </w:t>
            </w:r>
            <w:r>
              <w:rPr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nsino da </w:t>
            </w:r>
            <w:r>
              <w:rPr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rquitetura na América Latina.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Nesta data foi informado aos membros da CEF/PR, que as duas 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palestrantes já foram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confirmadas</w:t>
            </w:r>
            <w:r>
              <w:rPr>
                <w:sz w:val="24"/>
                <w:szCs w:val="24"/>
                <w:lang w:val="pt-BR"/>
              </w:rPr>
              <w:t xml:space="preserve">, ambas de fora do estado, país ( </w:t>
            </w:r>
            <w:r>
              <w:rPr>
                <w:sz w:val="24"/>
              </w:rPr>
              <w:t>sendo uma de Minas Gerais e outra da Argentina). A CEF-CAU/PR, arcará com as despesas de transporte e estadia da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 xml:space="preserve"> palestrantes, coordenadores (as) de curso ou professores (as) designados (as) representantes do curso, </w:t>
            </w:r>
            <w:r>
              <w:rPr>
                <w:sz w:val="24"/>
              </w:rPr>
              <w:t xml:space="preserve">e também aos </w:t>
            </w:r>
            <w:r>
              <w:rPr>
                <w:sz w:val="24"/>
              </w:rPr>
              <w:t xml:space="preserve">premiados do TFG 2023 e seus  orientadores </w:t>
            </w:r>
            <w:r>
              <w:rPr>
                <w:sz w:val="24"/>
              </w:rPr>
              <w:t>que puderem estar presentes</w:t>
            </w:r>
            <w:r>
              <w:rPr>
                <w:sz w:val="24"/>
              </w:rPr>
              <w:t xml:space="preserve">, do interior do estado. </w:t>
            </w:r>
            <w:r>
              <w:rPr>
                <w:sz w:val="24"/>
              </w:rPr>
              <w:t>Confirmado que o</w:t>
            </w:r>
            <w:r>
              <w:rPr>
                <w:sz w:val="24"/>
              </w:rPr>
              <w:t xml:space="preserve"> trajeto será somente rodoviário, com a previsão no máximo 50 participantes, contando com os coordenadores da capital.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bservando que não haverá ajuda de custo par</w:t>
            </w:r>
            <w:r>
              <w:rPr>
                <w:sz w:val="24"/>
              </w:rPr>
              <w:t xml:space="preserve">a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pt-BR" w:eastAsia="en-US" w:bidi="ar-SA"/>
              </w:rPr>
              <w:t xml:space="preserve">os coordenadores que </w:t>
            </w:r>
            <w:r>
              <w:rPr>
                <w:sz w:val="24"/>
              </w:rPr>
              <w:t xml:space="preserve"> residem em Curitiba</w:t>
            </w:r>
            <w:r>
              <w:rPr>
                <w:sz w:val="24"/>
              </w:rPr>
              <w:t xml:space="preserve">, por não ter previsão </w:t>
            </w:r>
            <w:r>
              <w:rPr>
                <w:sz w:val="24"/>
              </w:rPr>
              <w:t>de rubrica</w:t>
            </w:r>
            <w:r>
              <w:rPr>
                <w:sz w:val="24"/>
              </w:rPr>
              <w:t>, co</w:t>
            </w:r>
            <w:r>
              <w:rPr>
                <w:sz w:val="24"/>
              </w:rPr>
              <w:t xml:space="preserve">nsiderando </w:t>
            </w:r>
            <w:r>
              <w:rPr>
                <w:sz w:val="24"/>
              </w:rPr>
              <w:t xml:space="preserve">a Deliberação plenária DPOPR n° 160-07.2023. Nesta mesma data </w:t>
            </w:r>
            <w:r>
              <w:rPr>
                <w:sz w:val="24"/>
              </w:rPr>
              <w:t xml:space="preserve">do evento, será comunicado sobre o </w:t>
            </w:r>
            <w:r>
              <w:rPr>
                <w:sz w:val="24"/>
              </w:rPr>
              <w:t xml:space="preserve">lançamento do novo edital do concurso de TFG 2024, que ocorrerá </w:t>
            </w:r>
            <w:r>
              <w:rPr>
                <w:sz w:val="24"/>
              </w:rPr>
              <w:t xml:space="preserve">em um momento </w:t>
            </w:r>
            <w:r>
              <w:rPr>
                <w:sz w:val="24"/>
              </w:rPr>
              <w:t xml:space="preserve">durante o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pt-BR" w:eastAsia="en-US" w:bidi="ar-SA"/>
              </w:rPr>
              <w:t>dia.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</w:rPr>
              <w:t xml:space="preserve">Os docentes oriundos do interior do estado e premiados TFG, assim como os orientadores que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pt-BR" w:eastAsia="en-US" w:bidi="ar-SA"/>
              </w:rPr>
              <w:t>virão até Curitiba,</w:t>
            </w:r>
            <w:r>
              <w:rPr>
                <w:sz w:val="24"/>
              </w:rPr>
              <w:t xml:space="preserve"> terão direito a uma diária, para o seu deslocamento e refeições, no valor de R$ 810,00 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pt-BR" w:eastAsia="en-US" w:bidi="ar-SA"/>
              </w:rPr>
              <w:t>oitocentos e dez reais</w:t>
            </w:r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t>a título de ajuda de custo</w:t>
            </w:r>
            <w:r>
              <w:rPr>
                <w:sz w:val="24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</w:rPr>
              <w:t>O Convite assim como a arte do X Encontro de Coordenadores, foram  criados pel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pt-BR" w:eastAsia="en-US" w:bidi="ar-SA"/>
              </w:rPr>
              <w:t>assessor</w:t>
            </w:r>
            <w:r>
              <w:rPr>
                <w:sz w:val="24"/>
              </w:rPr>
              <w:t xml:space="preserve"> institucional </w:t>
            </w:r>
            <w:r>
              <w:rPr>
                <w:sz w:val="24"/>
              </w:rPr>
              <w:t>do CAU, André</w:t>
            </w:r>
            <w:r>
              <w:rPr>
                <w:sz w:val="24"/>
              </w:rPr>
              <w:t xml:space="preserve"> e </w:t>
            </w:r>
            <w:r>
              <w:rPr>
                <w:sz w:val="24"/>
              </w:rPr>
              <w:t xml:space="preserve">com apoio do gerente da </w:t>
            </w:r>
            <w:r>
              <w:rPr>
                <w:sz w:val="24"/>
              </w:rPr>
              <w:t xml:space="preserve">comunicação do CAU/PR, </w:t>
            </w:r>
            <w:r>
              <w:rPr>
                <w:sz w:val="24"/>
              </w:rPr>
              <w:t>Alisson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sendo </w:t>
            </w:r>
            <w:r>
              <w:rPr>
                <w:sz w:val="24"/>
              </w:rPr>
              <w:t xml:space="preserve">aprovado nesta data para envio aos convidados e </w:t>
            </w:r>
            <w:r>
              <w:rPr>
                <w:sz w:val="24"/>
              </w:rPr>
              <w:t xml:space="preserve">definitivamente o início da </w:t>
            </w:r>
            <w:r>
              <w:rPr>
                <w:sz w:val="24"/>
              </w:rPr>
              <w:t xml:space="preserve">divulgação do evento. O gabinete do CAU/PR, </w:t>
            </w:r>
            <w:r>
              <w:rPr>
                <w:sz w:val="24"/>
              </w:rPr>
              <w:t xml:space="preserve">ficará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pt-BR" w:eastAsia="en-US" w:bidi="ar-SA"/>
              </w:rPr>
              <w:t>re</w:t>
            </w:r>
            <w:r>
              <w:rPr>
                <w:sz w:val="24"/>
              </w:rPr>
              <w:t xml:space="preserve">sponsável pelas questões administrativas, quanto a compra de passagens. </w:t>
            </w:r>
            <w:r>
              <w:rPr>
                <w:sz w:val="24"/>
              </w:rPr>
              <w:t>Foi mencionado que s</w:t>
            </w:r>
            <w:r>
              <w:rPr>
                <w:sz w:val="24"/>
              </w:rPr>
              <w:t xml:space="preserve">erá necessário providenciar água mineral, café e chá, </w:t>
            </w:r>
            <w:r>
              <w:rPr>
                <w:sz w:val="24"/>
              </w:rPr>
              <w:t>bolachas e suco,</w:t>
            </w:r>
            <w:r>
              <w:rPr>
                <w:sz w:val="24"/>
              </w:rPr>
              <w:t xml:space="preserve"> possivelmente será oferecido um café da tarde </w:t>
            </w:r>
            <w:r>
              <w:rPr>
                <w:sz w:val="24"/>
              </w:rPr>
              <w:t>também.</w:t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center"/>
              <w:rPr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 w:eastAsia="en-US" w:bidi="ar-SA"/>
              </w:rPr>
              <w:t>CRONOGRAMA</w:t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lang w:val="pt-BR"/>
              </w:rPr>
            </w:r>
          </w:p>
          <w:tbl>
            <w:tblPr>
              <w:tblStyle w:val="TableNormal"/>
              <w:tblW w:w="907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760"/>
              <w:gridCol w:w="2149"/>
              <w:gridCol w:w="5165"/>
            </w:tblGrid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 xml:space="preserve">       </w:t>
                  </w: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>Horário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>Evento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/>
                      <w:kern w:val="0"/>
                      <w:sz w:val="22"/>
                      <w:szCs w:val="22"/>
                      <w:lang w:val="pt-BR"/>
                    </w:rPr>
                    <w:t>Descrição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eastAsia="Arial" w:cs="Times New Roman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</w:pPr>
                  <w:r>
                    <w:rPr>
                      <w:rFonts w:eastAsia="Arial" w:cs="Times New Roman" w:ascii="Times New Roman" w:hAnsi="Times New Roman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Recepção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Lista de presença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10h15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Abertura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Palavra do coord. CEF/PR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10h30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Presidente-CAU/PR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 xml:space="preserve">Palavra do Presidente </w:t>
                  </w:r>
                  <w:r>
                    <w:rPr>
                      <w:rFonts w:eastAsia="Arial" w:cs="Times New Roman" w:ascii="Times New Roman" w:hAnsi="Times New Roman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CAU/PR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10h45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 xml:space="preserve">Palavra 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bidi w:val="0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i w:val="false"/>
                      <w:caps w:val="false"/>
                      <w:smallCaps w:val="false"/>
                      <w:color w:val="000000"/>
                      <w:spacing w:val="0"/>
                      <w:kern w:val="0"/>
                      <w:sz w:val="22"/>
                      <w:szCs w:val="22"/>
                      <w:lang w:val="pt-BR"/>
                    </w:rPr>
                    <w:t xml:space="preserve">Representante 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i w:val="false"/>
                      <w:caps w:val="false"/>
                      <w:smallCaps w:val="false"/>
                      <w:color w:val="000000"/>
                      <w:spacing w:val="0"/>
                      <w:kern w:val="0"/>
                      <w:sz w:val="22"/>
                      <w:szCs w:val="22"/>
                      <w:lang w:val="pt-BR"/>
                    </w:rPr>
                    <w:t>M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i w:val="false"/>
                      <w:caps w:val="false"/>
                      <w:smallCaps w:val="false"/>
                      <w:color w:val="000000"/>
                      <w:spacing w:val="0"/>
                      <w:kern w:val="0"/>
                      <w:sz w:val="22"/>
                      <w:szCs w:val="22"/>
                      <w:lang w:val="pt-BR"/>
                    </w:rPr>
                    <w:t>unicipal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11h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Premiação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Concurso  TFG 2023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11h30 às 12h30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Palestra  ( manhã)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 xml:space="preserve">Prof. 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kern w:val="0"/>
                      <w:sz w:val="22"/>
                      <w:szCs w:val="22"/>
                      <w:lang w:val="pt-BR"/>
                    </w:rPr>
                    <w:t>Patrícia Mines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12h30 às 14h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eastAsia="Arial" w:cs="Times New Roman"/>
                      <w:b w:val="false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</w:pPr>
                  <w:r>
                    <w:rPr>
                      <w:rFonts w:eastAsia="Arial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Almoço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/>
                      <w:b/>
                      <w:bCs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sz w:val="22"/>
                      <w:szCs w:val="22"/>
                      <w:lang w:val="pt-BR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14h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Visita Guiada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eastAsia="Arial" w:cs="Times New Roman"/>
                      <w:b w:val="false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</w:pPr>
                  <w:r>
                    <w:rPr>
                      <w:rFonts w:eastAsia="Arial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pt-BR" w:eastAsia="zh-CN" w:bidi="hi-IN"/>
                    </w:rPr>
                    <w:t>Memorial Paranista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14h30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2"/>
                      <w:szCs w:val="22"/>
                      <w:lang w:val="pt-BR"/>
                    </w:rPr>
                    <w:t>Palestra</w:t>
                  </w:r>
                </w:p>
              </w:tc>
              <w:tc>
                <w:tcPr>
                  <w:tcW w:w="5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Arial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Arial"/>
                      <w:b w:val="false"/>
                      <w:bCs w:val="false"/>
                      <w:color w:val="000000"/>
                      <w:kern w:val="0"/>
                      <w:sz w:val="22"/>
                      <w:szCs w:val="22"/>
                      <w:lang w:val="pt-BR"/>
                    </w:rPr>
                    <w:t xml:space="preserve">Prof. </w:t>
                  </w:r>
                  <w:r>
                    <w:rPr>
                      <w:rFonts w:cs="Arial"/>
                      <w:b w:val="false"/>
                      <w:bCs w:val="false"/>
                      <w:color w:val="000000"/>
                      <w:kern w:val="0"/>
                      <w:sz w:val="22"/>
                      <w:szCs w:val="22"/>
                      <w:lang w:val="pt-BR"/>
                    </w:rPr>
                    <w:t>Maria Elisa Baptista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>15h30 às 16h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>Intervalo</w:t>
                  </w:r>
                </w:p>
              </w:tc>
              <w:tc>
                <w:tcPr>
                  <w:tcW w:w="51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  <w:lang w:val="pt-BR"/>
                    </w:rPr>
                    <w:t>Café</w:t>
                  </w: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  <w:lang w:val="pt-BR"/>
                    </w:rPr>
                    <w:t>da tarde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>16h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 xml:space="preserve">Dinâmica/ </w:t>
                  </w: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>apresentação</w:t>
                  </w:r>
                </w:p>
              </w:tc>
              <w:tc>
                <w:tcPr>
                  <w:tcW w:w="51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  <w:lang w:val="pt-BR"/>
                    </w:rPr>
                    <w:t>Espaço p/ coordenadores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hanging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>17h30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LOnormal1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 w:ascii="Times New Roman" w:hAnsi="Times New Roman"/>
                      <w:sz w:val="22"/>
                      <w:szCs w:val="22"/>
                      <w:lang w:val="pt-BR"/>
                    </w:rPr>
                    <w:t>Encerramento</w:t>
                  </w:r>
                </w:p>
              </w:tc>
              <w:tc>
                <w:tcPr>
                  <w:tcW w:w="51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Xm7116289207237900023xmsonormal"/>
                    <w:keepLines/>
                    <w:widowControl w:val="false"/>
                    <w:suppressAutoHyphens w:val="true"/>
                    <w:spacing w:lineRule="auto" w:line="240" w:before="0" w:after="0"/>
                    <w:ind w:left="57" w:right="57" w:hanging="0"/>
                    <w:jc w:val="left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22"/>
                      <w:szCs w:val="22"/>
                      <w:lang w:val="pt-BR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22"/>
                      <w:szCs w:val="22"/>
                      <w:lang w:val="pt-BR"/>
                    </w:rPr>
                    <w:t>Fechamento dos trabalhos</w:t>
                  </w:r>
                </w:p>
              </w:tc>
            </w:tr>
          </w:tbl>
          <w:p>
            <w:pPr>
              <w:pStyle w:val="Corpodotexto"/>
              <w:widowControl w:val="false"/>
              <w:tabs>
                <w:tab w:val="clear" w:pos="720"/>
                <w:tab w:val="left" w:pos="805" w:leader="none"/>
              </w:tabs>
              <w:spacing w:before="0" w:after="0"/>
              <w:ind w:right="174" w:hanging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i w:val="false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val="pt-BR" w:eastAsia="pt-BR" w:bidi="ar-SA"/>
              </w:rPr>
              <w:t xml:space="preserve">Informe: </w:t>
            </w:r>
            <w:r>
              <w:rPr>
                <w:rFonts w:eastAsia="Times New Roman" w:cs="Times New Roman"/>
                <w:b/>
                <w:bCs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Notas sobre DCNs – Divulgação no site do CAU/PR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Default"/>
              <w:widowControl w:val="false"/>
              <w:jc w:val="both"/>
              <w:rPr/>
            </w:pPr>
            <w:r>
              <w:rPr>
                <w:sz w:val="23"/>
                <w:lang w:val="pt-BR" w:eastAsia="en-US" w:bidi="ar-SA"/>
              </w:rPr>
              <w:t>O setor de comunicação do CAU/PR, recebeu do diretor da ABEA, Fred Barboza,</w:t>
            </w:r>
            <w:r>
              <w:rPr>
                <w:rFonts w:eastAsia="Calibri"/>
                <w:color w:val="000000"/>
                <w:kern w:val="0"/>
                <w:sz w:val="23"/>
                <w:szCs w:val="22"/>
                <w:lang w:val="pt-BR" w:eastAsia="en-US" w:bidi="ar-SA"/>
              </w:rPr>
              <w:t xml:space="preserve"> um pedido de </w:t>
            </w:r>
            <w:r>
              <w:rPr>
                <w:sz w:val="24"/>
                <w:szCs w:val="24"/>
                <w:lang w:val="pt-BR" w:eastAsia="en-US" w:bidi="ar-SA"/>
              </w:rPr>
              <w:t xml:space="preserve">divulgação da </w:t>
            </w:r>
            <w:r>
              <w:rPr>
                <w:i/>
                <w:sz w:val="24"/>
                <w:szCs w:val="24"/>
                <w:lang w:val="pt-BR" w:eastAsia="en-US" w:bidi="ar-SA"/>
              </w:rPr>
              <w:t>Nota O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>fi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cial da ABEA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sobre o trâmites das Novas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Diretrizes Curriculares Nacionais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(DCN) dos </w:t>
            </w:r>
            <w:r>
              <w:rPr>
                <w:i/>
                <w:sz w:val="24"/>
                <w:szCs w:val="24"/>
                <w:lang w:val="pt-BR" w:eastAsia="en-US" w:bidi="ar-SA"/>
              </w:rPr>
              <w:t>Cursos de Graduação em Arquitetura e Urbanismo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, a partir da proposta apresentada pela ABEA ao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Conselho Nacional de Educação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(CNE/MEC) na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Audiência Pública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 xml:space="preserve">de 30 de outubro de 2023, realizada no </w:t>
            </w:r>
            <w:r>
              <w:rPr>
                <w:i/>
                <w:sz w:val="24"/>
                <w:szCs w:val="24"/>
                <w:lang w:val="pt-BR" w:eastAsia="en-US" w:bidi="ar-SA"/>
              </w:rPr>
              <w:t xml:space="preserve">Paço Imperial, </w:t>
            </w:r>
            <w:r>
              <w:rPr>
                <w:i w:val="false"/>
                <w:sz w:val="24"/>
                <w:szCs w:val="24"/>
                <w:lang w:val="pt-BR" w:eastAsia="en-US" w:bidi="ar-SA"/>
              </w:rPr>
              <w:t>no Rio de Janeiro.</w:t>
            </w:r>
          </w:p>
          <w:p>
            <w:pPr>
              <w:pStyle w:val="Default"/>
              <w:widowControl w:val="false"/>
              <w:jc w:val="both"/>
              <w:rPr>
                <w:sz w:val="24"/>
                <w:szCs w:val="24"/>
                <w:lang w:val="pt-BR"/>
              </w:rPr>
            </w:pP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A proposta foi aprovada por unanimidade no CNE em 6 de dezembro de 2023 e, após tramitação no </w:t>
            </w:r>
            <w:r>
              <w:rPr>
                <w:i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Ministério da Educação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(MEC), foi novamente aprovada unanimemente pelo CNE em 2 de agosto de 2024.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left="0" w:right="-1" w:hanging="0"/>
              <w:contextualSpacing/>
              <w:jc w:val="both"/>
              <w:rPr>
                <w:sz w:val="24"/>
                <w:szCs w:val="24"/>
                <w:lang w:val="pt-BR" w:eastAsia="en-US" w:bidi="ar-SA"/>
              </w:rPr>
            </w:pP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Conforme solicitado pel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a presidência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 xml:space="preserve">avaliar e deliberar sobre a divulgação do texto da ABEA no site e nas redes sociais do Conselho.   junto a outros novos manifestos 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s</w:t>
            </w:r>
            <w:r>
              <w:rPr>
                <w:i w:val="false"/>
                <w:strike w:val="false"/>
                <w:dstrike w:val="false"/>
                <w:sz w:val="24"/>
                <w:szCs w:val="24"/>
                <w:u w:val="none"/>
                <w:lang w:val="pt-BR" w:eastAsia="en-US" w:bidi="ar-SA"/>
              </w:rPr>
              <w:t>e houverem.</w:t>
            </w:r>
          </w:p>
          <w:p>
            <w:pPr>
              <w:pStyle w:val="Corpodotexto"/>
              <w:widowControl w:val="false"/>
              <w:shd w:val="clear" w:fill="FFFFFF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left="0"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rpodotexto"/>
        <w:spacing w:before="120" w:after="120"/>
        <w:ind w:left="0" w:right="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6"/>
        <w:gridCol w:w="6973"/>
      </w:tblGrid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w w:val="99"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Edital de Concurso Prêmio de TFG 2024.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6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96" w:type="dxa"/>
            <w:tcBorders>
              <w:top w:val="single" w:sz="4" w:space="0" w:color="000000"/>
              <w:bottom w:val="single" w:sz="6" w:space="0" w:color="000000"/>
            </w:tcBorders>
            <w:shd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7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O Edital será atualizado até a data do 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X Encontro de Coordenadores de curso de Arquitetura e Urbanismo do Paraná. A assistente enviará um e-mail com o texto recente para a comissão definir principalmente o cronograma, os demais dados foram ajustados, como o valor do prêmio líquido, e a prorrogação no prazo de avaliação de mérito. Será elaborada uma deliberação para a próxima reunião antes da publicação e divulgação, nos moldes do evento 2023.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Corpodotexto"/>
        <w:spacing w:before="120" w:after="120"/>
        <w:ind w:left="0" w:right="6" w:hanging="0"/>
        <w:jc w:val="center"/>
        <w:rPr/>
      </w:pPr>
      <w:r>
        <w:rPr>
          <w:spacing w:val="-2"/>
          <w:sz w:val="24"/>
          <w:szCs w:val="24"/>
        </w:rPr>
        <w:t>Umuarama</w:t>
      </w:r>
      <w:r>
        <w:rPr>
          <w:sz w:val="24"/>
          <w:szCs w:val="24"/>
        </w:rPr>
        <w:t xml:space="preserve"> (P</w:t>
      </w:r>
      <w:r>
        <w:rPr>
          <w:spacing w:val="-2"/>
          <w:sz w:val="24"/>
          <w:szCs w:val="24"/>
        </w:rPr>
        <w:t>R) 23 de setembro</w:t>
      </w:r>
      <w:r>
        <w:rPr>
          <w:spacing w:val="-1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>
      <w:pPr>
        <w:pStyle w:val="Normal"/>
        <w:ind w:left="142" w:right="158" w:hanging="0"/>
        <w:jc w:val="both"/>
        <w:rPr/>
      </w:pPr>
      <w:r>
        <w:rPr>
          <w:sz w:val="24"/>
          <w:szCs w:val="24"/>
        </w:rPr>
        <w:t>Considerando a autorização do Conselho Diretor, a necessidade de ações cautelosas em defesa da saúde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membros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Plenário,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convidados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colaboradores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Conselho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implantação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reuniões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deliberativas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virtuais,</w:t>
      </w:r>
      <w:r>
        <w:rPr>
          <w:spacing w:val="-48"/>
          <w:sz w:val="24"/>
          <w:szCs w:val="24"/>
        </w:rPr>
        <w:t xml:space="preserve"> </w:t>
      </w:r>
      <w:r>
        <w:rPr>
          <w:b/>
          <w:sz w:val="24"/>
          <w:szCs w:val="24"/>
        </w:rPr>
        <w:t>atesto 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veracidade e 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autenticidade das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prestadas</w:t>
      </w:r>
      <w:r>
        <w:rPr>
          <w:sz w:val="24"/>
          <w:szCs w:val="24"/>
        </w:rPr>
        <w:t>.</w:t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535"/>
      </w:tblGrid>
      <w:tr>
        <w:trPr/>
        <w:tc>
          <w:tcPr>
            <w:tcW w:w="453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CEF-CAU/PR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  <w:t>FRANCINE CLAUDIA KOSCIUV</w:t>
            </w:r>
          </w:p>
          <w:p>
            <w:pPr>
              <w:pStyle w:val="TableParagraph"/>
              <w:widowControl w:val="false"/>
              <w:jc w:val="center"/>
              <w:rPr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val="it-IT"/>
              </w:rPr>
              <w:t>Assistente da CEF/PR</w:t>
            </w:r>
          </w:p>
        </w:tc>
      </w:tr>
    </w:tbl>
    <w:p>
      <w:pPr>
        <w:pStyle w:val="Normal"/>
        <w:ind w:left="142" w:right="158" w:hanging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Ttulo1"/>
        <w:spacing w:before="80" w:after="1"/>
        <w:ind w:left="0" w:right="3" w:hanging="0"/>
        <w:rPr/>
      </w:pPr>
      <w:r>
        <w:rPr>
          <w:sz w:val="24"/>
          <w:szCs w:val="24"/>
        </w:rPr>
        <w:t>9ª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REUNIÃO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ORDINÁRIA</w:t>
      </w:r>
      <w:r>
        <w:rPr>
          <w:spacing w:val="-1"/>
          <w:sz w:val="24"/>
          <w:szCs w:val="24"/>
        </w:rPr>
        <w:t xml:space="preserve"> - </w:t>
      </w:r>
      <w:r>
        <w:rPr>
          <w:sz w:val="24"/>
          <w:szCs w:val="24"/>
        </w:rPr>
        <w:t>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CEF-CAU/PR</w:t>
      </w:r>
    </w:p>
    <w:p>
      <w:pPr>
        <w:pStyle w:val="Corpodotexto"/>
        <w:spacing w:before="1" w:after="0"/>
        <w:ind w:left="0" w:right="6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pt-BR" w:eastAsia="en-US" w:bidi="ar-SA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en-US" w:bidi="ar-SA"/>
        </w:rPr>
        <w:t>Hibrida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3766"/>
        <w:gridCol w:w="809"/>
        <w:gridCol w:w="880"/>
        <w:gridCol w:w="885"/>
        <w:gridCol w:w="887"/>
      </w:tblGrid>
      <w:tr>
        <w:trPr>
          <w:trHeight w:val="220" w:hRule="atLeast"/>
        </w:trPr>
        <w:tc>
          <w:tcPr>
            <w:tcW w:w="9069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left="0" w:right="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Folha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 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60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Função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1271" w:right="1271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Conselheiros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1392" w:hanging="0"/>
              <w:jc w:val="center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73" w:righ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Sim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90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Não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14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2" w:right="0" w:hanging="0"/>
              <w:jc w:val="left"/>
              <w:rPr>
                <w:b/>
                <w:b/>
                <w:kern w:val="0"/>
                <w:sz w:val="24"/>
                <w:szCs w:val="24"/>
                <w:lang w:eastAsia="en-US" w:bidi="ar-SA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Ausên.</w:t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8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Érica Bernabé Takanashi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haise Marcela N. O. Andrade</w:t>
            </w:r>
          </w:p>
        </w:tc>
        <w:tc>
          <w:tcPr>
            <w:tcW w:w="809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0" w:hanging="0"/>
              <w:jc w:val="center"/>
              <w:rPr/>
            </w:pPr>
            <w:r>
              <w:rPr/>
              <w:t>X</w:t>
            </w:r>
          </w:p>
        </w:tc>
        <w:tc>
          <w:tcPr>
            <w:tcW w:w="880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5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069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154" w:hRule="atLeast"/>
        </w:trPr>
        <w:tc>
          <w:tcPr>
            <w:tcW w:w="90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D9D9FF" w:val="clear"/>
          </w:tcPr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Histórico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votação: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 xml:space="preserve"> 9°</w:t>
            </w:r>
            <w:r>
              <w:rPr>
                <w:b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EUNIÃO ORDINÁRIA -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2024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CEF - CAU/PR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Data: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2</w:t>
            </w:r>
            <w:r>
              <w:rPr>
                <w:rFonts w:eastAsia="Times New Roman" w:cs="Times New Roman"/>
                <w:color w:val="auto"/>
                <w:spacing w:val="-3"/>
                <w:kern w:val="0"/>
                <w:sz w:val="24"/>
                <w:szCs w:val="24"/>
                <w:lang w:val="pt-BR" w:eastAsia="en-US" w:bidi="ar-SA"/>
              </w:rPr>
              <w:t>3.09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>.2024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Matéria em votação:  Súmula da 9° reunião  da CEF/PR.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Resultado da votação: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Deferir  (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X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Não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Abst.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Ausência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 de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Total: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( 3 ) Conselheiros.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Ocorrências: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Nenhuma.</w:t>
            </w:r>
          </w:p>
          <w:p>
            <w:pPr>
              <w:pStyle w:val="TableParagraph"/>
              <w:widowControl w:val="false"/>
              <w:suppressAutoHyphens w:val="true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Assistente: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Francine Kosciuv -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Condução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Trabalhos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(Coord.):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N. Sardo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135" w:gutter="0" w:header="437" w:top="1701" w:footer="0" w:bottom="1701"/>
      <w:pgNumType w:fmt="decimal"/>
      <w:formProt w:val="false"/>
      <w:textDirection w:val="lrTb"/>
      <w:docGrid w:type="default" w:linePitch="100" w:charSpace="614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-14605</wp:posOffset>
          </wp:positionH>
          <wp:positionV relativeFrom="paragraph">
            <wp:posOffset>31115</wp:posOffset>
          </wp:positionV>
          <wp:extent cx="5804535" cy="6350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295015" cy="30099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4360" cy="300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left="20" w:right="0" w:hanging="0"/>
                            <w:rPr/>
                          </w:pPr>
                          <w:r>
                            <w:rPr>
                              <w:color w:val="006666"/>
                            </w:rPr>
                            <w:t xml:space="preserve">              </w:t>
                          </w: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</w:t>
                          </w:r>
                          <w:r>
                            <w:rPr>
                              <w:color w:val="0066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  <w:spacing w:val="-3"/>
                              <w:shd w:fill="FFFFFF" w:val="clear"/>
                            </w:rPr>
                            <w:t>Ensino e Formação - CEF-CAU/PR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97.05pt;margin-top:64.5pt;width:259.35pt;height:23.6pt;mso-wrap-style:square;v-text-anchor:top;mso-position-horizontal:center;mso-position-horizontal-relative:margin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right="0" w:hanging="0"/>
                      <w:rPr/>
                    </w:pPr>
                    <w:r>
                      <w:rPr>
                        <w:color w:val="006666"/>
                      </w:rPr>
                      <w:t xml:space="preserve">              </w:t>
                    </w: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</w:t>
                    </w:r>
                    <w:r>
                      <w:rPr>
                        <w:color w:val="006666"/>
                        <w:spacing w:val="-3"/>
                      </w:rPr>
                      <w:t xml:space="preserve"> </w:t>
                    </w:r>
                    <w:r>
                      <w:rPr>
                        <w:color w:val="006666"/>
                        <w:spacing w:val="-3"/>
                        <w:shd w:fill="FFFFFF" w:val="clear"/>
                      </w:rPr>
                      <w:t>Ensino e Formação - CEF-CAU/PR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ind w:left="0" w:right="3701" w:hanging="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lang w:val="pt-PT"/>
    </w:rPr>
  </w:style>
  <w:style w:type="character" w:styleId="SubtleEmphasis">
    <w:name w:val="Subtle Emphasis"/>
    <w:qFormat/>
    <w:rPr>
      <w:i/>
      <w:iCs/>
      <w:color w:val="404040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Nfase">
    <w:name w:val="Ênfase"/>
    <w:qFormat/>
    <w:rPr>
      <w:i/>
      <w:iCs/>
    </w:rPr>
  </w:style>
  <w:style w:type="character" w:styleId="Smbolosdenumerao">
    <w:name w:val="Símbolos de numeração"/>
    <w:qFormat/>
    <w:rPr/>
  </w:style>
  <w:style w:type="character" w:styleId="WWCharLFO4LVL1">
    <w:name w:val="WW_CharLFO4LVL1"/>
    <w:qFormat/>
    <w:rPr>
      <w:b w:val="false"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 w:cs="Times New Roman"/>
      <w:lang w:val="pt-BR"/>
    </w:rPr>
  </w:style>
  <w:style w:type="character" w:styleId="Cdigofonte">
    <w:name w:val="Código-fonte"/>
    <w:qFormat/>
    <w:rPr>
      <w:rFonts w:ascii="Liberation Mono" w:hAnsi="Liberation Mono" w:eastAsia="Liberation Mono" w:cs="Liberation Mon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sz w:val="20"/>
      <w:szCs w:val="20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LONormal"/>
    <w:qFormat/>
    <w:pPr>
      <w:ind w:left="720" w:right="0" w:hanging="0"/>
    </w:pPr>
    <w:rPr/>
  </w:style>
  <w:style w:type="paragraph" w:styleId="TableParagraph">
    <w:name w:val="Table Paragraph"/>
    <w:basedOn w:val="Normal"/>
    <w:qFormat/>
    <w:pPr>
      <w:ind w:left="108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ahoma"/>
      <w:color w:val="000000"/>
      <w:kern w:val="0"/>
      <w:sz w:val="24"/>
      <w:szCs w:val="22"/>
      <w:lang w:val="en-US" w:eastAsia="en-US" w:bidi="ar-SA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en-US" w:eastAsia="en-US" w:bidi="ar-SA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lang w:eastAsia="pt-BR"/>
    </w:rPr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paragraph" w:styleId="LOnormal1">
    <w:name w:val="LO-normal"/>
    <w:qFormat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Xm7116289207237900023xmsonormal">
    <w:name w:val="x_m_-7116289207237900023x_msonormal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LibreOffice/7.2.2.2$Windows_X86_64 LibreOffice_project/02b2acce88a210515b4a5bb2e46cbfb63fe97d56</Application>
  <AppVersion>15.0000</AppVersion>
  <Pages>4</Pages>
  <Words>955</Words>
  <Characters>5239</Characters>
  <CharactersWithSpaces>6107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2024-08-19T20:03:00Z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2024-08-14T14:53:26Z</cp:lastPrinted>
  <dcterms:modified xsi:type="dcterms:W3CDTF">2024-10-22T21:53:55Z</dcterms:modified>
  <cp:revision>192</cp:revision>
  <dc:subject>COA</dc:subject>
  <dc:title>Email – Francine Claudia Kosciuv – Outlook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